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1C2" w:rsidRPr="001B51E1" w:rsidRDefault="00D061C2">
      <w:pPr>
        <w:rPr>
          <w:b/>
        </w:rPr>
      </w:pPr>
      <w:bookmarkStart w:id="0" w:name="_GoBack"/>
      <w:bookmarkEnd w:id="0"/>
      <w:r w:rsidRPr="001B51E1">
        <w:rPr>
          <w:b/>
        </w:rPr>
        <w:t xml:space="preserve">Noticia: Producto Interno Bruto </w:t>
      </w:r>
    </w:p>
    <w:p w:rsidR="004741CE" w:rsidRDefault="004741CE"/>
    <w:p w:rsidR="004741CE" w:rsidRDefault="004741CE" w:rsidP="004741CE">
      <w:r>
        <w:t>III Trimestre 2018</w:t>
      </w:r>
    </w:p>
    <w:p w:rsidR="004741CE" w:rsidRPr="001B51E1" w:rsidRDefault="004741CE" w:rsidP="004741CE">
      <w:pPr>
        <w:rPr>
          <w:b/>
        </w:rPr>
      </w:pPr>
      <w:r w:rsidRPr="001B51E1">
        <w:rPr>
          <w:b/>
        </w:rPr>
        <w:t>Costa Rica</w:t>
      </w:r>
    </w:p>
    <w:p w:rsidR="004741CE" w:rsidRDefault="004741CE" w:rsidP="004741CE">
      <w:r>
        <w:t xml:space="preserve">El Banco Central de Costa Rica reportó que el Producto Interno Bruto al tercer trimestre del 2018 creció a una tasa anualizada de 1.0% (serie tendencia ciclo). Este resultado se registró debido a la combinación tanto de factores externos, relacionados con la situación política de Nicaragua, como internos, derivados de la incertidumbre sobre la sostenibilidad de las finanzas públicas. </w:t>
      </w:r>
    </w:p>
    <w:p w:rsidR="004741CE" w:rsidRDefault="004741CE" w:rsidP="004741CE">
      <w:r>
        <w:t xml:space="preserve">Publicación: </w:t>
      </w:r>
      <w:r>
        <w:tab/>
        <w:t xml:space="preserve"> </w:t>
      </w:r>
      <w:r>
        <w:tab/>
        <w:t xml:space="preserve"> </w:t>
      </w:r>
      <w:r>
        <w:tab/>
        <w:t xml:space="preserve"> </w:t>
      </w:r>
      <w:r>
        <w:tab/>
        <w:t xml:space="preserve"> </w:t>
      </w:r>
      <w:r>
        <w:tab/>
        <w:t xml:space="preserve"> </w:t>
      </w:r>
    </w:p>
    <w:p w:rsidR="004741CE" w:rsidRDefault="004741CE" w:rsidP="004741CE">
      <w:r>
        <w:t>https://gee.bccr.fi.cr/indicadoreseconomicos/Documentos/Sector%20Externo/Evoluci%C3%B3n%20PIB%20Real%20%20y%20Sector%20externo-%20III%202018.pdf</w:t>
      </w:r>
      <w:r>
        <w:cr/>
      </w:r>
      <w:r>
        <w:rPr>
          <w:noProof/>
        </w:rPr>
        <w:drawing>
          <wp:inline distT="0" distB="0" distL="0" distR="0">
            <wp:extent cx="5612130" cy="324231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PNG"/>
                    <pic:cNvPicPr/>
                  </pic:nvPicPr>
                  <pic:blipFill>
                    <a:blip r:embed="rId4">
                      <a:extLst>
                        <a:ext uri="{28A0092B-C50C-407E-A947-70E740481C1C}">
                          <a14:useLocalDpi xmlns:a14="http://schemas.microsoft.com/office/drawing/2010/main" val="0"/>
                        </a:ext>
                      </a:extLst>
                    </a:blip>
                    <a:stretch>
                      <a:fillRect/>
                    </a:stretch>
                  </pic:blipFill>
                  <pic:spPr>
                    <a:xfrm>
                      <a:off x="0" y="0"/>
                      <a:ext cx="5612130" cy="3242310"/>
                    </a:xfrm>
                    <a:prstGeom prst="rect">
                      <a:avLst/>
                    </a:prstGeom>
                  </pic:spPr>
                </pic:pic>
              </a:graphicData>
            </a:graphic>
          </wp:inline>
        </w:drawing>
      </w:r>
    </w:p>
    <w:p w:rsidR="004741CE" w:rsidRDefault="004741CE" w:rsidP="004741CE"/>
    <w:p w:rsidR="00EB63E5" w:rsidRDefault="00EB63E5" w:rsidP="004741CE"/>
    <w:p w:rsidR="00EB63E5" w:rsidRDefault="00EB63E5" w:rsidP="004741CE"/>
    <w:p w:rsidR="00EB63E5" w:rsidRDefault="00EB63E5" w:rsidP="004741CE"/>
    <w:p w:rsidR="00EB63E5" w:rsidRDefault="00EB63E5" w:rsidP="004741CE"/>
    <w:p w:rsidR="00EB63E5" w:rsidRDefault="00EB63E5" w:rsidP="004741CE"/>
    <w:p w:rsidR="00EB63E5" w:rsidRDefault="00EB63E5" w:rsidP="004741CE"/>
    <w:p w:rsidR="00EB63E5" w:rsidRDefault="00EB63E5" w:rsidP="004741CE"/>
    <w:p w:rsidR="004741CE" w:rsidRPr="001B51E1" w:rsidRDefault="004741CE" w:rsidP="004741CE">
      <w:pPr>
        <w:rPr>
          <w:b/>
        </w:rPr>
      </w:pPr>
      <w:r w:rsidRPr="001B51E1">
        <w:rPr>
          <w:b/>
        </w:rPr>
        <w:lastRenderedPageBreak/>
        <w:t xml:space="preserve">Noticia: Índice Mensual de Actividad Económica </w:t>
      </w:r>
    </w:p>
    <w:p w:rsidR="004741CE" w:rsidRDefault="004741CE" w:rsidP="004741CE">
      <w:r>
        <w:t>Octubre 2018</w:t>
      </w:r>
    </w:p>
    <w:p w:rsidR="004741CE" w:rsidRPr="001B51E1" w:rsidRDefault="004741CE" w:rsidP="004741CE">
      <w:pPr>
        <w:rPr>
          <w:b/>
        </w:rPr>
      </w:pPr>
      <w:r w:rsidRPr="001B51E1">
        <w:rPr>
          <w:b/>
        </w:rPr>
        <w:t>El Salvador</w:t>
      </w:r>
    </w:p>
    <w:p w:rsidR="004741CE" w:rsidRDefault="004741CE" w:rsidP="004741CE"/>
    <w:p w:rsidR="004741CE" w:rsidRDefault="004741CE" w:rsidP="004741CE">
      <w:r>
        <w:t xml:space="preserve">De acuerdo con la información oficial divulgada por el Banco Central de Reserva de El Salvador, el Índice de Volumen de Actividad Económica (IVAE) correspondiente al mes de octubre de 2018 presentó una variación interanual de 2.2% según la serie desestacionalizada (2.1% en octubre 2017). </w:t>
      </w:r>
    </w:p>
    <w:p w:rsidR="004741CE" w:rsidRDefault="004741CE" w:rsidP="004741CE"/>
    <w:p w:rsidR="004741CE" w:rsidRDefault="004741CE" w:rsidP="004741CE">
      <w:r>
        <w:t xml:space="preserve"> </w:t>
      </w:r>
    </w:p>
    <w:p w:rsidR="004741CE" w:rsidRDefault="004741CE" w:rsidP="004741CE">
      <w:r>
        <w:t>https://www.bcr.gob.sv/bcrsite/?x21=82&amp;lang=es</w:t>
      </w:r>
      <w:r>
        <w:cr/>
      </w:r>
      <w:r w:rsidR="00EB63E5">
        <w:rPr>
          <w:noProof/>
        </w:rPr>
        <w:drawing>
          <wp:inline distT="0" distB="0" distL="0" distR="0">
            <wp:extent cx="5791200" cy="3305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PNG"/>
                    <pic:cNvPicPr/>
                  </pic:nvPicPr>
                  <pic:blipFill>
                    <a:blip r:embed="rId5">
                      <a:extLst>
                        <a:ext uri="{28A0092B-C50C-407E-A947-70E740481C1C}">
                          <a14:useLocalDpi xmlns:a14="http://schemas.microsoft.com/office/drawing/2010/main" val="0"/>
                        </a:ext>
                      </a:extLst>
                    </a:blip>
                    <a:stretch>
                      <a:fillRect/>
                    </a:stretch>
                  </pic:blipFill>
                  <pic:spPr>
                    <a:xfrm>
                      <a:off x="0" y="0"/>
                      <a:ext cx="5792010" cy="3305637"/>
                    </a:xfrm>
                    <a:prstGeom prst="rect">
                      <a:avLst/>
                    </a:prstGeom>
                  </pic:spPr>
                </pic:pic>
              </a:graphicData>
            </a:graphic>
          </wp:inline>
        </w:drawing>
      </w:r>
    </w:p>
    <w:p w:rsidR="00EB0F8F" w:rsidRDefault="00EB0F8F" w:rsidP="004741CE"/>
    <w:p w:rsidR="00EB0F8F" w:rsidRDefault="00EB0F8F" w:rsidP="004741CE"/>
    <w:p w:rsidR="00EB0F8F" w:rsidRDefault="00EB0F8F" w:rsidP="004741CE"/>
    <w:p w:rsidR="00EB0F8F" w:rsidRDefault="00EB0F8F" w:rsidP="004741CE"/>
    <w:p w:rsidR="00EB0F8F" w:rsidRDefault="00EB0F8F" w:rsidP="004741CE"/>
    <w:p w:rsidR="00EB0F8F" w:rsidRDefault="00EB0F8F" w:rsidP="004741CE"/>
    <w:p w:rsidR="00EB0F8F" w:rsidRDefault="00EB0F8F" w:rsidP="004741CE"/>
    <w:p w:rsidR="00EB0F8F" w:rsidRPr="001B51E1" w:rsidRDefault="00EB0F8F" w:rsidP="004741CE">
      <w:pPr>
        <w:rPr>
          <w:b/>
        </w:rPr>
      </w:pPr>
      <w:r w:rsidRPr="001B51E1">
        <w:rPr>
          <w:b/>
        </w:rPr>
        <w:lastRenderedPageBreak/>
        <w:t xml:space="preserve">Noticia: Producto Interno Bruto </w:t>
      </w:r>
    </w:p>
    <w:p w:rsidR="00EB0F8F" w:rsidRDefault="00EB0F8F" w:rsidP="00EB0F8F">
      <w:r>
        <w:t>III Trimestre 2018</w:t>
      </w:r>
    </w:p>
    <w:p w:rsidR="00EB0F8F" w:rsidRPr="001B51E1" w:rsidRDefault="00EB0F8F" w:rsidP="00EB0F8F">
      <w:pPr>
        <w:rPr>
          <w:b/>
        </w:rPr>
      </w:pPr>
      <w:r w:rsidRPr="001B51E1">
        <w:rPr>
          <w:b/>
        </w:rPr>
        <w:t>Honduras</w:t>
      </w:r>
    </w:p>
    <w:p w:rsidR="00EB0F8F" w:rsidRDefault="00EB0F8F" w:rsidP="00EB0F8F"/>
    <w:p w:rsidR="00EB0F8F" w:rsidRDefault="00EB0F8F" w:rsidP="00EB0F8F">
      <w:r>
        <w:t>El Banco Central de Honduras reportó que el Producto Interno Bruto mostró un crecimiento de 0.7% en el  III trimestre del 2018 respecto al trimestre anterior (en serie desestacionalizada). Las actividades que más contribuyeron en ese resultado fueron: Agricultura, Ganadería, Silvicultura y Pesca y Comunicaciones. Por otra parte, el PIB registró una tasa de variación de 3.1% en el III trimestre de 2018 respecto al mismo período de 2017.</w:t>
      </w:r>
    </w:p>
    <w:p w:rsidR="00EB0F8F" w:rsidRDefault="00EB0F8F" w:rsidP="00EB0F8F">
      <w:r>
        <w:t xml:space="preserve"> </w:t>
      </w:r>
    </w:p>
    <w:p w:rsidR="00EB0F8F" w:rsidRDefault="00EB0F8F" w:rsidP="00EB0F8F"/>
    <w:p w:rsidR="00EB0F8F" w:rsidRDefault="00EB0F8F" w:rsidP="00EB0F8F">
      <w:r>
        <w:t xml:space="preserve">Publicación: </w:t>
      </w:r>
      <w:r>
        <w:tab/>
        <w:t xml:space="preserve"> </w:t>
      </w:r>
      <w:r>
        <w:tab/>
        <w:t xml:space="preserve"> </w:t>
      </w:r>
      <w:r>
        <w:tab/>
        <w:t xml:space="preserve"> </w:t>
      </w:r>
      <w:r>
        <w:tab/>
        <w:t xml:space="preserve"> </w:t>
      </w:r>
      <w:r>
        <w:tab/>
        <w:t xml:space="preserve"> </w:t>
      </w:r>
    </w:p>
    <w:p w:rsidR="00EB0F8F" w:rsidRDefault="00EB0F8F" w:rsidP="00EB0F8F">
      <w:r>
        <w:t>http://www.bch.hn/download/pib/2018/pib_III_trimestre_2018.pdf</w:t>
      </w:r>
      <w:r>
        <w:cr/>
      </w:r>
    </w:p>
    <w:p w:rsidR="00EB0F8F" w:rsidRDefault="00EB0F8F" w:rsidP="00EB0F8F">
      <w:r>
        <w:rPr>
          <w:noProof/>
        </w:rPr>
        <w:drawing>
          <wp:inline distT="0" distB="0" distL="0" distR="0">
            <wp:extent cx="5612130" cy="3591560"/>
            <wp:effectExtent l="0" t="0" r="762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3.PNG"/>
                    <pic:cNvPicPr/>
                  </pic:nvPicPr>
                  <pic:blipFill>
                    <a:blip r:embed="rId6">
                      <a:extLst>
                        <a:ext uri="{28A0092B-C50C-407E-A947-70E740481C1C}">
                          <a14:useLocalDpi xmlns:a14="http://schemas.microsoft.com/office/drawing/2010/main" val="0"/>
                        </a:ext>
                      </a:extLst>
                    </a:blip>
                    <a:stretch>
                      <a:fillRect/>
                    </a:stretch>
                  </pic:blipFill>
                  <pic:spPr>
                    <a:xfrm>
                      <a:off x="0" y="0"/>
                      <a:ext cx="5612130" cy="3591560"/>
                    </a:xfrm>
                    <a:prstGeom prst="rect">
                      <a:avLst/>
                    </a:prstGeom>
                  </pic:spPr>
                </pic:pic>
              </a:graphicData>
            </a:graphic>
          </wp:inline>
        </w:drawing>
      </w:r>
    </w:p>
    <w:p w:rsidR="00EB0F8F" w:rsidRDefault="00EB0F8F" w:rsidP="00EB0F8F"/>
    <w:p w:rsidR="00EB0F8F" w:rsidRDefault="00EB0F8F" w:rsidP="00EB0F8F"/>
    <w:p w:rsidR="00EB0F8F" w:rsidRDefault="00EB0F8F" w:rsidP="00EB0F8F"/>
    <w:p w:rsidR="00EB0F8F" w:rsidRDefault="00EB0F8F" w:rsidP="00EB0F8F"/>
    <w:p w:rsidR="00EB0F8F" w:rsidRDefault="00EB0F8F" w:rsidP="00EB0F8F"/>
    <w:p w:rsidR="00EB0F8F" w:rsidRDefault="00EB0F8F" w:rsidP="00EB0F8F"/>
    <w:p w:rsidR="00EB0F8F" w:rsidRPr="001B51E1" w:rsidRDefault="00EB0F8F" w:rsidP="00EB0F8F">
      <w:pPr>
        <w:rPr>
          <w:b/>
        </w:rPr>
      </w:pPr>
      <w:r w:rsidRPr="001B51E1">
        <w:rPr>
          <w:b/>
        </w:rPr>
        <w:t xml:space="preserve">Noticia: Índice Mensual de Actividad Económica </w:t>
      </w:r>
    </w:p>
    <w:p w:rsidR="00EB0F8F" w:rsidRDefault="00EB0F8F" w:rsidP="00EB0F8F"/>
    <w:p w:rsidR="00EB0F8F" w:rsidRDefault="00EB0F8F" w:rsidP="00EB0F8F"/>
    <w:p w:rsidR="00EB0F8F" w:rsidRDefault="00EB0F8F" w:rsidP="00EB0F8F">
      <w:r>
        <w:t>Noviembre 2018</w:t>
      </w:r>
      <w:r>
        <w:tab/>
      </w:r>
    </w:p>
    <w:p w:rsidR="00EB0F8F" w:rsidRPr="001B51E1" w:rsidRDefault="00EB0F8F" w:rsidP="00EB0F8F">
      <w:pPr>
        <w:rPr>
          <w:b/>
        </w:rPr>
      </w:pPr>
      <w:r w:rsidRPr="001B51E1">
        <w:rPr>
          <w:b/>
        </w:rPr>
        <w:t xml:space="preserve">República Dominicana </w:t>
      </w:r>
      <w:r w:rsidRPr="001B51E1">
        <w:rPr>
          <w:b/>
        </w:rPr>
        <w:tab/>
      </w:r>
    </w:p>
    <w:p w:rsidR="00EB0F8F" w:rsidRDefault="00EB0F8F" w:rsidP="00EB0F8F"/>
    <w:p w:rsidR="00EB0F8F" w:rsidRDefault="00EB0F8F" w:rsidP="00EB0F8F">
      <w:r>
        <w:t>En República Dominicana, la actividad económica medida por el Índice Mensual de Actividad Económica (IMAE) experimentó incrementos anualizados de 6.8% y 7.2% en octubre y noviembre, respectivamente. La economía Dominicana continúa creciendo por encima de su potencial, manteniendo el liderazgo regional en toda América Latina.</w:t>
      </w:r>
      <w:r>
        <w:tab/>
      </w:r>
    </w:p>
    <w:p w:rsidR="00EB0F8F" w:rsidRDefault="00EB0F8F" w:rsidP="00EB0F8F">
      <w:r>
        <w:tab/>
      </w:r>
    </w:p>
    <w:p w:rsidR="00EB0F8F" w:rsidRDefault="00EB0F8F" w:rsidP="00EB0F8F">
      <w:r>
        <w:t>Publicación:</w:t>
      </w:r>
      <w:r>
        <w:tab/>
        <w:t xml:space="preserve"> </w:t>
      </w:r>
      <w:r>
        <w:tab/>
        <w:t xml:space="preserve"> </w:t>
      </w:r>
      <w:r>
        <w:tab/>
        <w:t xml:space="preserve"> </w:t>
      </w:r>
      <w:r>
        <w:tab/>
        <w:t xml:space="preserve"> </w:t>
      </w:r>
      <w:r>
        <w:tab/>
        <w:t xml:space="preserve"> </w:t>
      </w:r>
      <w:r>
        <w:tab/>
      </w:r>
    </w:p>
    <w:p w:rsidR="00EB0F8F" w:rsidRDefault="00EB0F8F" w:rsidP="00EB0F8F">
      <w:r>
        <w:t>https://www.bancentral.gov.do/a/d/4188-economia-dominicana-crece-70-en-el-ano-2018</w:t>
      </w:r>
    </w:p>
    <w:p w:rsidR="00EB0F8F" w:rsidRDefault="00EB0F8F" w:rsidP="00EB0F8F">
      <w:r>
        <w:rPr>
          <w:noProof/>
        </w:rPr>
        <w:drawing>
          <wp:inline distT="0" distB="0" distL="0" distR="0">
            <wp:extent cx="5248275" cy="33051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7">
                      <a:extLst>
                        <a:ext uri="{28A0092B-C50C-407E-A947-70E740481C1C}">
                          <a14:useLocalDpi xmlns:a14="http://schemas.microsoft.com/office/drawing/2010/main" val="0"/>
                        </a:ext>
                      </a:extLst>
                    </a:blip>
                    <a:stretch>
                      <a:fillRect/>
                    </a:stretch>
                  </pic:blipFill>
                  <pic:spPr>
                    <a:xfrm>
                      <a:off x="0" y="0"/>
                      <a:ext cx="5249018" cy="3305643"/>
                    </a:xfrm>
                    <a:prstGeom prst="rect">
                      <a:avLst/>
                    </a:prstGeom>
                  </pic:spPr>
                </pic:pic>
              </a:graphicData>
            </a:graphic>
          </wp:inline>
        </w:drawing>
      </w:r>
    </w:p>
    <w:p w:rsidR="00EB0F8F" w:rsidRDefault="00EB0F8F" w:rsidP="00EB0F8F"/>
    <w:p w:rsidR="00EB0F8F" w:rsidRDefault="00EB0F8F" w:rsidP="00EB0F8F"/>
    <w:p w:rsidR="00EB0F8F" w:rsidRDefault="00EB0F8F" w:rsidP="00EB0F8F"/>
    <w:p w:rsidR="00EB0F8F" w:rsidRDefault="00EB0F8F" w:rsidP="00EB0F8F"/>
    <w:p w:rsidR="00EB0F8F" w:rsidRPr="001B51E1" w:rsidRDefault="00EB0F8F" w:rsidP="00EB0F8F">
      <w:pPr>
        <w:rPr>
          <w:b/>
        </w:rPr>
      </w:pPr>
      <w:r w:rsidRPr="001B51E1">
        <w:rPr>
          <w:b/>
        </w:rPr>
        <w:t xml:space="preserve">Noticia: Tasa de Política Monetaria </w:t>
      </w:r>
    </w:p>
    <w:p w:rsidR="00EB0F8F" w:rsidRDefault="00EB0F8F" w:rsidP="00EB0F8F"/>
    <w:p w:rsidR="00EB0F8F" w:rsidRDefault="00EB0F8F" w:rsidP="00EB0F8F">
      <w:r>
        <w:tab/>
      </w:r>
      <w:r>
        <w:tab/>
        <w:t xml:space="preserve"> </w:t>
      </w:r>
      <w:r>
        <w:tab/>
        <w:t xml:space="preserve"> </w:t>
      </w:r>
      <w:r>
        <w:tab/>
        <w:t>Enero</w:t>
      </w:r>
      <w:r>
        <w:tab/>
        <w:t>2019</w:t>
      </w:r>
      <w:r>
        <w:tab/>
        <w:t xml:space="preserve"> </w:t>
      </w:r>
      <w:r>
        <w:tab/>
      </w:r>
    </w:p>
    <w:p w:rsidR="00EB0F8F" w:rsidRPr="001B51E1" w:rsidRDefault="00EB0F8F" w:rsidP="00EB0F8F">
      <w:pPr>
        <w:rPr>
          <w:b/>
        </w:rPr>
      </w:pPr>
      <w:r>
        <w:tab/>
        <w:t xml:space="preserve"> </w:t>
      </w:r>
      <w:r w:rsidRPr="001B51E1">
        <w:rPr>
          <w:b/>
        </w:rPr>
        <w:tab/>
        <w:t>Honduras</w:t>
      </w:r>
      <w:r w:rsidRPr="001B51E1">
        <w:rPr>
          <w:b/>
        </w:rPr>
        <w:tab/>
        <w:t xml:space="preserve"> </w:t>
      </w:r>
      <w:r w:rsidRPr="001B51E1">
        <w:rPr>
          <w:b/>
        </w:rPr>
        <w:tab/>
        <w:t xml:space="preserve"> </w:t>
      </w:r>
      <w:r w:rsidRPr="001B51E1">
        <w:rPr>
          <w:b/>
        </w:rPr>
        <w:tab/>
        <w:t xml:space="preserve"> </w:t>
      </w:r>
      <w:r w:rsidRPr="001B51E1">
        <w:rPr>
          <w:b/>
        </w:rPr>
        <w:tab/>
        <w:t xml:space="preserve"> </w:t>
      </w:r>
      <w:r w:rsidRPr="001B51E1">
        <w:rPr>
          <w:b/>
        </w:rPr>
        <w:tab/>
      </w:r>
    </w:p>
    <w:p w:rsidR="00EB0F8F" w:rsidRDefault="00EB0F8F" w:rsidP="00EB0F8F">
      <w:r>
        <w:tab/>
      </w:r>
      <w:r>
        <w:tab/>
      </w:r>
    </w:p>
    <w:p w:rsidR="00EB0F8F" w:rsidRDefault="00EB0F8F" w:rsidP="00EB0F8F">
      <w:r>
        <w:t>El Banco Central de Honduras, después de analizar la evolución reciente y las perspectivas de los principales indicadores macroeconómicos y financieros, tanto internos como externos, decidió aumentar la Tasa de Política Monetaria en 25 puntos básicos, estableciéndola en 5.75% a partir del 7 de enero de 2019.</w:t>
      </w:r>
      <w:r>
        <w:tab/>
      </w:r>
    </w:p>
    <w:p w:rsidR="00EB0F8F" w:rsidRDefault="00EB0F8F" w:rsidP="00EB0F8F">
      <w:r>
        <w:tab/>
      </w:r>
      <w:r>
        <w:tab/>
        <w:t xml:space="preserve"> </w:t>
      </w:r>
      <w:r>
        <w:tab/>
      </w:r>
    </w:p>
    <w:p w:rsidR="00EB0F8F" w:rsidRDefault="00EB0F8F" w:rsidP="00EB0F8F">
      <w:r>
        <w:tab/>
      </w:r>
      <w:r>
        <w:tab/>
        <w:t>Boletín de prensa:</w:t>
      </w:r>
      <w:r>
        <w:tab/>
      </w:r>
    </w:p>
    <w:p w:rsidR="00EB0F8F" w:rsidRDefault="00EB0F8F" w:rsidP="00EB0F8F">
      <w:r>
        <w:tab/>
      </w:r>
      <w:r>
        <w:tab/>
        <w:t>http://www.bch.hn/download/boletines_prensa/2019/boletin_de_prensa_01_19.pdf</w:t>
      </w:r>
    </w:p>
    <w:p w:rsidR="00EB0F8F" w:rsidRDefault="00EB0F8F" w:rsidP="00EB0F8F">
      <w:r>
        <w:rPr>
          <w:noProof/>
        </w:rPr>
        <w:drawing>
          <wp:inline distT="0" distB="0" distL="0" distR="0">
            <wp:extent cx="5810250" cy="380047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5.PNG"/>
                    <pic:cNvPicPr/>
                  </pic:nvPicPr>
                  <pic:blipFill>
                    <a:blip r:embed="rId8">
                      <a:extLst>
                        <a:ext uri="{28A0092B-C50C-407E-A947-70E740481C1C}">
                          <a14:useLocalDpi xmlns:a14="http://schemas.microsoft.com/office/drawing/2010/main" val="0"/>
                        </a:ext>
                      </a:extLst>
                    </a:blip>
                    <a:stretch>
                      <a:fillRect/>
                    </a:stretch>
                  </pic:blipFill>
                  <pic:spPr>
                    <a:xfrm>
                      <a:off x="0" y="0"/>
                      <a:ext cx="5847044" cy="3824541"/>
                    </a:xfrm>
                    <a:prstGeom prst="rect">
                      <a:avLst/>
                    </a:prstGeom>
                  </pic:spPr>
                </pic:pic>
              </a:graphicData>
            </a:graphic>
          </wp:inline>
        </w:drawing>
      </w:r>
    </w:p>
    <w:p w:rsidR="00EB0F8F" w:rsidRDefault="00EB0F8F" w:rsidP="00EB0F8F">
      <w:r>
        <w:rPr>
          <w:noProof/>
        </w:rPr>
        <w:lastRenderedPageBreak/>
        <w:drawing>
          <wp:inline distT="0" distB="0" distL="0" distR="0">
            <wp:extent cx="5924550" cy="1971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5.1.PNG"/>
                    <pic:cNvPicPr/>
                  </pic:nvPicPr>
                  <pic:blipFill>
                    <a:blip r:embed="rId9">
                      <a:extLst>
                        <a:ext uri="{28A0092B-C50C-407E-A947-70E740481C1C}">
                          <a14:useLocalDpi xmlns:a14="http://schemas.microsoft.com/office/drawing/2010/main" val="0"/>
                        </a:ext>
                      </a:extLst>
                    </a:blip>
                    <a:stretch>
                      <a:fillRect/>
                    </a:stretch>
                  </pic:blipFill>
                  <pic:spPr>
                    <a:xfrm>
                      <a:off x="0" y="0"/>
                      <a:ext cx="5925380" cy="1971951"/>
                    </a:xfrm>
                    <a:prstGeom prst="rect">
                      <a:avLst/>
                    </a:prstGeom>
                  </pic:spPr>
                </pic:pic>
              </a:graphicData>
            </a:graphic>
          </wp:inline>
        </w:drawing>
      </w:r>
    </w:p>
    <w:p w:rsidR="00EB0F8F" w:rsidRDefault="00EB0F8F"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D42E65" w:rsidRDefault="00D42E65" w:rsidP="00EB0F8F"/>
    <w:p w:rsidR="00EB0F8F" w:rsidRPr="001B51E1" w:rsidRDefault="00D42E65" w:rsidP="00EB0F8F">
      <w:pPr>
        <w:rPr>
          <w:b/>
        </w:rPr>
      </w:pPr>
      <w:r w:rsidRPr="001B51E1">
        <w:rPr>
          <w:b/>
        </w:rPr>
        <w:lastRenderedPageBreak/>
        <w:t xml:space="preserve">Noticia: Tasa Política Monetaria </w:t>
      </w:r>
    </w:p>
    <w:p w:rsidR="00D42E65" w:rsidRDefault="00D42E65" w:rsidP="00D42E65"/>
    <w:p w:rsidR="00D42E65" w:rsidRDefault="00D42E65" w:rsidP="00D42E65">
      <w:r>
        <w:tab/>
      </w:r>
      <w:r>
        <w:tab/>
        <w:t xml:space="preserve"> </w:t>
      </w:r>
      <w:r>
        <w:tab/>
        <w:t xml:space="preserve"> </w:t>
      </w:r>
      <w:r>
        <w:tab/>
        <w:t>Enero</w:t>
      </w:r>
      <w:r>
        <w:tab/>
        <w:t>2019</w:t>
      </w:r>
      <w:r>
        <w:tab/>
        <w:t xml:space="preserve"> </w:t>
      </w:r>
      <w:r>
        <w:tab/>
      </w:r>
    </w:p>
    <w:p w:rsidR="00D42E65" w:rsidRPr="001B51E1" w:rsidRDefault="00D42E65" w:rsidP="00D42E65">
      <w:pPr>
        <w:rPr>
          <w:b/>
        </w:rPr>
      </w:pPr>
      <w:r>
        <w:tab/>
        <w:t xml:space="preserve"> </w:t>
      </w:r>
      <w:r w:rsidRPr="001B51E1">
        <w:rPr>
          <w:b/>
        </w:rPr>
        <w:tab/>
        <w:t xml:space="preserve">República Dominicana </w:t>
      </w:r>
      <w:r w:rsidRPr="001B51E1">
        <w:rPr>
          <w:b/>
        </w:rPr>
        <w:tab/>
        <w:t xml:space="preserve"> </w:t>
      </w:r>
      <w:r w:rsidRPr="001B51E1">
        <w:rPr>
          <w:b/>
        </w:rPr>
        <w:tab/>
        <w:t xml:space="preserve"> </w:t>
      </w:r>
      <w:r w:rsidRPr="001B51E1">
        <w:rPr>
          <w:b/>
        </w:rPr>
        <w:tab/>
        <w:t xml:space="preserve"> </w:t>
      </w:r>
      <w:r w:rsidRPr="001B51E1">
        <w:rPr>
          <w:b/>
        </w:rPr>
        <w:tab/>
      </w:r>
    </w:p>
    <w:p w:rsidR="00D42E65" w:rsidRDefault="00D42E65" w:rsidP="00D42E65">
      <w:r>
        <w:tab/>
      </w:r>
      <w:r>
        <w:tab/>
      </w:r>
    </w:p>
    <w:p w:rsidR="00D42E65" w:rsidRDefault="00D42E65" w:rsidP="00D42E65">
      <w:r>
        <w:t xml:space="preserve">En su reunión de política monetaria de diciembre de 2018, el Banco Central de la República Dominicana (BCRD) decidió mantener su tasa de interés de política monetaria en 5.50% anual. Esta decisión se tomó con base en el análisis detallado del balance de riesgos en torno a los pronósticos de inflación, incluyendo información proveniente de indicadores macroeconómicos internacionales y domésticos, las expectativas del mercado y las proyecciones de mediano plazo. </w:t>
      </w:r>
      <w:r>
        <w:tab/>
      </w:r>
    </w:p>
    <w:p w:rsidR="00D42E65" w:rsidRDefault="00D42E65" w:rsidP="00D42E65">
      <w:r>
        <w:tab/>
      </w:r>
      <w:r>
        <w:tab/>
        <w:t xml:space="preserve"> </w:t>
      </w:r>
      <w:r>
        <w:tab/>
      </w:r>
    </w:p>
    <w:p w:rsidR="00D42E65" w:rsidRDefault="00D42E65" w:rsidP="00D42E65">
      <w:r>
        <w:tab/>
      </w:r>
      <w:r>
        <w:tab/>
        <w:t>Comunicado de Política Monetaria:</w:t>
      </w:r>
      <w:r>
        <w:tab/>
      </w:r>
    </w:p>
    <w:p w:rsidR="00D42E65" w:rsidRDefault="00D42E65" w:rsidP="00D42E65">
      <w:r>
        <w:tab/>
      </w:r>
      <w:r>
        <w:tab/>
        <w:t>https://www.bancentral.gov.do/a/d/4190-bcrd-mantiene-su-tasa-de-politica-monetaria-en-550--anual</w:t>
      </w:r>
    </w:p>
    <w:p w:rsidR="00D42E65" w:rsidRDefault="00D42E65" w:rsidP="00D42E65"/>
    <w:p w:rsidR="00D42E65" w:rsidRDefault="00D42E65" w:rsidP="00D42E65">
      <w:r>
        <w:tab/>
      </w:r>
      <w:r>
        <w:rPr>
          <w:noProof/>
        </w:rPr>
        <w:drawing>
          <wp:inline distT="0" distB="0" distL="0" distR="0">
            <wp:extent cx="6296025" cy="3517900"/>
            <wp:effectExtent l="0" t="0" r="952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6.PNG"/>
                    <pic:cNvPicPr/>
                  </pic:nvPicPr>
                  <pic:blipFill>
                    <a:blip r:embed="rId10">
                      <a:extLst>
                        <a:ext uri="{28A0092B-C50C-407E-A947-70E740481C1C}">
                          <a14:useLocalDpi xmlns:a14="http://schemas.microsoft.com/office/drawing/2010/main" val="0"/>
                        </a:ext>
                      </a:extLst>
                    </a:blip>
                    <a:stretch>
                      <a:fillRect/>
                    </a:stretch>
                  </pic:blipFill>
                  <pic:spPr>
                    <a:xfrm>
                      <a:off x="0" y="0"/>
                      <a:ext cx="6296025" cy="3517900"/>
                    </a:xfrm>
                    <a:prstGeom prst="rect">
                      <a:avLst/>
                    </a:prstGeom>
                  </pic:spPr>
                </pic:pic>
              </a:graphicData>
            </a:graphic>
          </wp:inline>
        </w:drawing>
      </w:r>
    </w:p>
    <w:p w:rsidR="00D42E65" w:rsidRDefault="00D42E65" w:rsidP="00D42E65"/>
    <w:p w:rsidR="00D42E65" w:rsidRDefault="00D42E65" w:rsidP="00D42E65"/>
    <w:p w:rsidR="00D42E65" w:rsidRDefault="00D42E65" w:rsidP="00D42E65"/>
    <w:p w:rsidR="00D42E65" w:rsidRDefault="00D42E65" w:rsidP="00D42E65"/>
    <w:p w:rsidR="006569E2" w:rsidRDefault="00D42E65" w:rsidP="00D42E65">
      <w:r>
        <w:rPr>
          <w:noProof/>
        </w:rPr>
        <w:drawing>
          <wp:inline distT="0" distB="0" distL="0" distR="0">
            <wp:extent cx="6229350" cy="33223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6.1.PNG"/>
                    <pic:cNvPicPr/>
                  </pic:nvPicPr>
                  <pic:blipFill>
                    <a:blip r:embed="rId11">
                      <a:extLst>
                        <a:ext uri="{28A0092B-C50C-407E-A947-70E740481C1C}">
                          <a14:useLocalDpi xmlns:a14="http://schemas.microsoft.com/office/drawing/2010/main" val="0"/>
                        </a:ext>
                      </a:extLst>
                    </a:blip>
                    <a:stretch>
                      <a:fillRect/>
                    </a:stretch>
                  </pic:blipFill>
                  <pic:spPr>
                    <a:xfrm>
                      <a:off x="0" y="0"/>
                      <a:ext cx="6229350" cy="3322320"/>
                    </a:xfrm>
                    <a:prstGeom prst="rect">
                      <a:avLst/>
                    </a:prstGeom>
                  </pic:spPr>
                </pic:pic>
              </a:graphicData>
            </a:graphic>
          </wp:inline>
        </w:drawing>
      </w:r>
    </w:p>
    <w:p w:rsidR="00742E70" w:rsidRDefault="00742E70" w:rsidP="00D42E65"/>
    <w:p w:rsidR="00742E70" w:rsidRPr="001B51E1" w:rsidRDefault="00742E70" w:rsidP="00D42E65">
      <w:pPr>
        <w:rPr>
          <w:b/>
        </w:rPr>
      </w:pPr>
    </w:p>
    <w:p w:rsidR="00742E70" w:rsidRPr="001B51E1" w:rsidRDefault="00742E70" w:rsidP="00D42E65">
      <w:pPr>
        <w:rPr>
          <w:b/>
        </w:rPr>
      </w:pPr>
      <w:r w:rsidRPr="001B51E1">
        <w:rPr>
          <w:b/>
        </w:rPr>
        <w:t xml:space="preserve">Reporte: Índice de Tipo de Cambio Efectivo Real </w:t>
      </w:r>
    </w:p>
    <w:p w:rsidR="00742E70" w:rsidRDefault="00742E70" w:rsidP="00D42E65"/>
    <w:p w:rsidR="00742E70" w:rsidRDefault="00D42E65" w:rsidP="00742E70">
      <w:pPr>
        <w:spacing w:line="252" w:lineRule="auto"/>
        <w:rPr>
          <w:rFonts w:ascii="Futura Lt BT" w:hAnsi="Futura Lt BT"/>
          <w:lang w:val="es-MX"/>
        </w:rPr>
      </w:pPr>
      <w:r>
        <w:tab/>
      </w:r>
    </w:p>
    <w:p w:rsidR="00742E70" w:rsidRDefault="00742E70" w:rsidP="00742E70">
      <w:pPr>
        <w:spacing w:line="252" w:lineRule="auto"/>
        <w:rPr>
          <w:rFonts w:ascii="Futura Lt BT" w:hAnsi="Futura Lt BT"/>
          <w:lang w:val="es-MX"/>
        </w:rPr>
      </w:pPr>
      <w:r>
        <w:rPr>
          <w:rFonts w:ascii="Futura Lt BT" w:hAnsi="Futura Lt BT"/>
          <w:lang w:val="es-MX"/>
        </w:rPr>
        <w:t xml:space="preserve">El reporte mensual del Índice del Tipo de Cambio Efectivo Real (ITCER), elaborado por la SECMCA a noviembre de 2018, registra una depreciación interanual real de la moneda nacional para todos los países de la Región con respecto al dólar de los Estados Unidos de América. </w:t>
      </w:r>
    </w:p>
    <w:p w:rsidR="00742E70" w:rsidRDefault="00742E70" w:rsidP="00742E70">
      <w:pPr>
        <w:spacing w:line="252" w:lineRule="auto"/>
        <w:rPr>
          <w:rFonts w:ascii="Futura Lt BT" w:hAnsi="Futura Lt BT"/>
          <w:lang w:val="es-MX"/>
        </w:rPr>
      </w:pPr>
    </w:p>
    <w:p w:rsidR="00742E70" w:rsidRDefault="00742E70" w:rsidP="00742E70">
      <w:pPr>
        <w:spacing w:line="252" w:lineRule="auto"/>
        <w:rPr>
          <w:rFonts w:ascii="Futura Lt BT" w:hAnsi="Futura Lt BT"/>
          <w:lang w:val="es-MX"/>
        </w:rPr>
      </w:pPr>
      <w:r>
        <w:rPr>
          <w:rFonts w:ascii="Futura Lt BT" w:hAnsi="Futura Lt BT"/>
          <w:lang w:val="es-MX"/>
        </w:rPr>
        <w:t xml:space="preserve">El cálculo del ITCER, a noviembre de 2018, se encuentra disponible en </w:t>
      </w:r>
      <w:hyperlink r:id="rId12" w:anchor="tipo_cambio_men" w:history="1">
        <w:r>
          <w:rPr>
            <w:rStyle w:val="Hipervnculo"/>
            <w:rFonts w:ascii="Futura Lt BT" w:hAnsi="Futura Lt BT"/>
            <w:lang w:val="es-MX"/>
          </w:rPr>
          <w:t>http://www.secmca.org/Informes.html#tipo_cambio_men</w:t>
        </w:r>
      </w:hyperlink>
      <w:r>
        <w:rPr>
          <w:rFonts w:ascii="Futura Lt BT" w:hAnsi="Futura Lt BT"/>
          <w:lang w:val="es-MX"/>
        </w:rPr>
        <w:t xml:space="preserve">. Las series estadísticas de precios y tipos de cambio de la región están disponibles en </w:t>
      </w:r>
      <w:hyperlink r:id="rId13" w:history="1">
        <w:r>
          <w:rPr>
            <w:rStyle w:val="Hipervnculo"/>
            <w:rFonts w:ascii="Futura Lt BT" w:hAnsi="Futura Lt BT"/>
            <w:lang w:val="es-MX"/>
          </w:rPr>
          <w:t>http://www.secmca.org/simafir.html</w:t>
        </w:r>
      </w:hyperlink>
      <w:r>
        <w:rPr>
          <w:rFonts w:ascii="Futura Lt BT" w:hAnsi="Futura Lt BT"/>
          <w:lang w:val="es-MX"/>
        </w:rPr>
        <w:t>.</w:t>
      </w:r>
    </w:p>
    <w:p w:rsidR="00D42E65" w:rsidRDefault="00D42E65" w:rsidP="00D42E65">
      <w:r>
        <w:tab/>
      </w:r>
    </w:p>
    <w:p w:rsidR="00742E70" w:rsidRDefault="00742E70" w:rsidP="00D42E65"/>
    <w:p w:rsidR="00742E70" w:rsidRDefault="00742E70" w:rsidP="00D42E65"/>
    <w:p w:rsidR="00742E70" w:rsidRDefault="00742E70" w:rsidP="00D42E65"/>
    <w:p w:rsidR="00742E70" w:rsidRDefault="00742E70" w:rsidP="00D42E65"/>
    <w:p w:rsidR="00742E70" w:rsidRDefault="00742E70" w:rsidP="00D42E65"/>
    <w:p w:rsidR="00742E70" w:rsidRPr="001B51E1" w:rsidRDefault="00742E70" w:rsidP="00D42E65">
      <w:pPr>
        <w:rPr>
          <w:b/>
        </w:rPr>
      </w:pPr>
      <w:r w:rsidRPr="001B51E1">
        <w:rPr>
          <w:b/>
        </w:rPr>
        <w:t>Noticia: Inflación</w:t>
      </w:r>
    </w:p>
    <w:p w:rsidR="00742E70" w:rsidRDefault="00742E70" w:rsidP="00742E70">
      <w:r>
        <w:t xml:space="preserve"> En Honduras, el Índice de Precios al Consumidor (IPC) registró una variación mensual de 0.19% en diciembre 2018. Los rubros que más aportaron a este resultado fueron: Alojamiento, agua, electricidad, gas y otros combustibles; y Prendas de vestir y calzado. Asimismo, la inflación interanual a diciembre de 2018 se ubicó en 4.22% (4.73% en diciembre 2017).</w:t>
      </w:r>
    </w:p>
    <w:p w:rsidR="00742E70" w:rsidRDefault="00742E70" w:rsidP="00742E70"/>
    <w:p w:rsidR="00742E70" w:rsidRDefault="00742E70" w:rsidP="00742E70">
      <w:r>
        <w:t>Publicación:</w:t>
      </w:r>
    </w:p>
    <w:p w:rsidR="00742E70" w:rsidRDefault="00976943" w:rsidP="00742E70">
      <w:hyperlink r:id="rId14" w:history="1">
        <w:r w:rsidR="00742E70" w:rsidRPr="00482FE8">
          <w:rPr>
            <w:rStyle w:val="Hipervnculo"/>
          </w:rPr>
          <w:t>http://www.bch.hn/download/ipc_historico/2018/ipc122018.pdf</w:t>
        </w:r>
      </w:hyperlink>
    </w:p>
    <w:p w:rsidR="00742E70" w:rsidRDefault="00742E70" w:rsidP="00742E70"/>
    <w:p w:rsidR="00742E70" w:rsidRDefault="00742E70" w:rsidP="00742E70">
      <w:r>
        <w:rPr>
          <w:noProof/>
        </w:rPr>
        <w:drawing>
          <wp:inline distT="0" distB="0" distL="0" distR="0">
            <wp:extent cx="5286375" cy="16859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7.PNG"/>
                    <pic:cNvPicPr/>
                  </pic:nvPicPr>
                  <pic:blipFill>
                    <a:blip r:embed="rId15">
                      <a:extLst>
                        <a:ext uri="{28A0092B-C50C-407E-A947-70E740481C1C}">
                          <a14:useLocalDpi xmlns:a14="http://schemas.microsoft.com/office/drawing/2010/main" val="0"/>
                        </a:ext>
                      </a:extLst>
                    </a:blip>
                    <a:stretch>
                      <a:fillRect/>
                    </a:stretch>
                  </pic:blipFill>
                  <pic:spPr>
                    <a:xfrm>
                      <a:off x="0" y="0"/>
                      <a:ext cx="5287132" cy="1686166"/>
                    </a:xfrm>
                    <a:prstGeom prst="rect">
                      <a:avLst/>
                    </a:prstGeom>
                  </pic:spPr>
                </pic:pic>
              </a:graphicData>
            </a:graphic>
          </wp:inline>
        </w:drawing>
      </w:r>
    </w:p>
    <w:p w:rsidR="00742E70" w:rsidRDefault="00742E70" w:rsidP="00742E70"/>
    <w:p w:rsidR="00742E70" w:rsidRDefault="00742E70" w:rsidP="00742E70">
      <w:r>
        <w:rPr>
          <w:noProof/>
        </w:rPr>
        <w:lastRenderedPageBreak/>
        <w:drawing>
          <wp:inline distT="0" distB="0" distL="0" distR="0">
            <wp:extent cx="6781800" cy="339471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7.1.PNG"/>
                    <pic:cNvPicPr/>
                  </pic:nvPicPr>
                  <pic:blipFill>
                    <a:blip r:embed="rId16">
                      <a:extLst>
                        <a:ext uri="{28A0092B-C50C-407E-A947-70E740481C1C}">
                          <a14:useLocalDpi xmlns:a14="http://schemas.microsoft.com/office/drawing/2010/main" val="0"/>
                        </a:ext>
                      </a:extLst>
                    </a:blip>
                    <a:stretch>
                      <a:fillRect/>
                    </a:stretch>
                  </pic:blipFill>
                  <pic:spPr>
                    <a:xfrm>
                      <a:off x="0" y="0"/>
                      <a:ext cx="6781800" cy="3394710"/>
                    </a:xfrm>
                    <a:prstGeom prst="rect">
                      <a:avLst/>
                    </a:prstGeom>
                  </pic:spPr>
                </pic:pic>
              </a:graphicData>
            </a:graphic>
          </wp:inline>
        </w:drawing>
      </w:r>
    </w:p>
    <w:p w:rsidR="00742E70" w:rsidRPr="00742E70" w:rsidRDefault="00742E70" w:rsidP="00742E70"/>
    <w:p w:rsidR="00742E70" w:rsidRDefault="00742E70" w:rsidP="00742E70"/>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42E70" w:rsidRDefault="00742E70" w:rsidP="00742E70">
      <w:pPr>
        <w:ind w:firstLine="708"/>
      </w:pPr>
    </w:p>
    <w:p w:rsidR="00787EB3" w:rsidRPr="001B51E1" w:rsidRDefault="00787EB3" w:rsidP="00742E70">
      <w:pPr>
        <w:ind w:firstLine="708"/>
        <w:rPr>
          <w:b/>
        </w:rPr>
      </w:pPr>
      <w:r w:rsidRPr="001B51E1">
        <w:rPr>
          <w:b/>
        </w:rPr>
        <w:t>Noticia: Inflación</w:t>
      </w:r>
    </w:p>
    <w:p w:rsidR="00787EB3" w:rsidRDefault="00787EB3" w:rsidP="00787EB3">
      <w:pPr>
        <w:ind w:left="708"/>
        <w:rPr>
          <w:rFonts w:ascii="Futura Lt BT" w:hAnsi="Futura Lt BT"/>
          <w:sz w:val="24"/>
          <w:szCs w:val="24"/>
        </w:rPr>
      </w:pPr>
      <w:r>
        <w:rPr>
          <w:rFonts w:ascii="Futura Lt BT" w:hAnsi="Futura Lt BT"/>
          <w:sz w:val="24"/>
          <w:szCs w:val="24"/>
        </w:rPr>
        <w:t>El Índice de Precios al Consumidor en Guatemala registró una variación mensual de 0.13% en diciembre 2018.  Las divisiones de Alimentos y de Recreación son las que tuvieron mayor impacto en ese resultado. Por su parte, la inflación interanual registró en este mismo mes un valor de 2.31% (5.68% en diciembre 2017), desacelerándose por tercer mes consecutivo y ubicándose por debajo del límite inferior del rango meta para esa variable.</w:t>
      </w:r>
    </w:p>
    <w:p w:rsidR="00787EB3" w:rsidRDefault="00787EB3" w:rsidP="00787EB3">
      <w:pPr>
        <w:ind w:left="708"/>
        <w:rPr>
          <w:rFonts w:ascii="Futura Lt BT" w:hAnsi="Futura Lt BT"/>
          <w:sz w:val="24"/>
          <w:szCs w:val="24"/>
        </w:rPr>
      </w:pPr>
    </w:p>
    <w:p w:rsidR="00787EB3" w:rsidRDefault="00787EB3" w:rsidP="00787EB3">
      <w:pPr>
        <w:ind w:left="708"/>
        <w:rPr>
          <w:rFonts w:ascii="Futura Lt BT" w:hAnsi="Futura Lt BT"/>
          <w:b/>
          <w:bCs/>
          <w:sz w:val="24"/>
          <w:szCs w:val="24"/>
        </w:rPr>
      </w:pPr>
      <w:r>
        <w:rPr>
          <w:rFonts w:ascii="Futura Lt BT" w:hAnsi="Futura Lt BT"/>
          <w:b/>
          <w:bCs/>
          <w:sz w:val="24"/>
          <w:szCs w:val="24"/>
        </w:rPr>
        <w:t>Publicación:</w:t>
      </w:r>
    </w:p>
    <w:p w:rsidR="00787EB3" w:rsidRDefault="00976943" w:rsidP="00787EB3">
      <w:pPr>
        <w:ind w:left="708"/>
        <w:rPr>
          <w:rFonts w:ascii="Futura Lt BT" w:hAnsi="Futura Lt BT"/>
          <w:sz w:val="24"/>
          <w:szCs w:val="24"/>
        </w:rPr>
      </w:pPr>
      <w:hyperlink r:id="rId17" w:history="1">
        <w:r w:rsidR="00787EB3">
          <w:rPr>
            <w:rStyle w:val="Hipervnculo"/>
            <w:rFonts w:ascii="Futura Lt BT" w:hAnsi="Futura Lt BT"/>
            <w:sz w:val="24"/>
            <w:szCs w:val="24"/>
          </w:rPr>
          <w:t>https://www.ine.gob.gt/sistema/uploads/2019/01/07/20190107113954aE63D8ky7MoFhXG3MgBOYfWXBzsEFBGD.pdf</w:t>
        </w:r>
      </w:hyperlink>
      <w:r w:rsidR="00787EB3">
        <w:rPr>
          <w:rFonts w:ascii="Futura Lt BT" w:hAnsi="Futura Lt BT"/>
          <w:sz w:val="24"/>
          <w:szCs w:val="24"/>
        </w:rPr>
        <w:t xml:space="preserve"> </w:t>
      </w:r>
    </w:p>
    <w:p w:rsidR="00787EB3" w:rsidRDefault="00787EB3" w:rsidP="00787EB3">
      <w:pPr>
        <w:ind w:left="708"/>
        <w:rPr>
          <w:rFonts w:ascii="Futura Lt BT" w:hAnsi="Futura Lt BT"/>
          <w:sz w:val="24"/>
          <w:szCs w:val="24"/>
        </w:rPr>
      </w:pPr>
    </w:p>
    <w:p w:rsidR="00787EB3" w:rsidRDefault="00787EB3" w:rsidP="00787EB3">
      <w:pPr>
        <w:ind w:left="708"/>
        <w:rPr>
          <w:rFonts w:ascii="Futura Lt BT" w:hAnsi="Futura Lt BT"/>
          <w:sz w:val="24"/>
          <w:szCs w:val="24"/>
        </w:rPr>
      </w:pPr>
      <w:r>
        <w:rPr>
          <w:rFonts w:ascii="Futura Lt BT" w:hAnsi="Futura Lt BT"/>
          <w:noProof/>
          <w:sz w:val="24"/>
          <w:szCs w:val="24"/>
        </w:rPr>
        <w:drawing>
          <wp:inline distT="0" distB="0" distL="0" distR="0">
            <wp:extent cx="5991225" cy="33051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8.PNG"/>
                    <pic:cNvPicPr/>
                  </pic:nvPicPr>
                  <pic:blipFill>
                    <a:blip r:embed="rId18">
                      <a:extLst>
                        <a:ext uri="{28A0092B-C50C-407E-A947-70E740481C1C}">
                          <a14:useLocalDpi xmlns:a14="http://schemas.microsoft.com/office/drawing/2010/main" val="0"/>
                        </a:ext>
                      </a:extLst>
                    </a:blip>
                    <a:stretch>
                      <a:fillRect/>
                    </a:stretch>
                  </pic:blipFill>
                  <pic:spPr>
                    <a:xfrm>
                      <a:off x="0" y="0"/>
                      <a:ext cx="5991225" cy="3305175"/>
                    </a:xfrm>
                    <a:prstGeom prst="rect">
                      <a:avLst/>
                    </a:prstGeom>
                  </pic:spPr>
                </pic:pic>
              </a:graphicData>
            </a:graphic>
          </wp:inline>
        </w:drawing>
      </w:r>
    </w:p>
    <w:p w:rsidR="00787EB3" w:rsidRDefault="00787EB3" w:rsidP="00742E70">
      <w:pPr>
        <w:ind w:firstLine="708"/>
      </w:pPr>
    </w:p>
    <w:p w:rsidR="00787EB3" w:rsidRDefault="00787EB3" w:rsidP="00742E70">
      <w:pPr>
        <w:ind w:firstLine="708"/>
      </w:pPr>
    </w:p>
    <w:p w:rsidR="00787EB3" w:rsidRDefault="00787EB3" w:rsidP="00742E70">
      <w:pPr>
        <w:ind w:firstLine="708"/>
      </w:pPr>
    </w:p>
    <w:p w:rsidR="00787EB3" w:rsidRDefault="00787EB3" w:rsidP="00742E70">
      <w:pPr>
        <w:ind w:firstLine="708"/>
      </w:pPr>
    </w:p>
    <w:p w:rsidR="00742E70" w:rsidRPr="001B51E1" w:rsidRDefault="00787EB3" w:rsidP="00742E70">
      <w:pPr>
        <w:ind w:firstLine="708"/>
        <w:rPr>
          <w:b/>
        </w:rPr>
      </w:pPr>
      <w:r w:rsidRPr="001B51E1">
        <w:rPr>
          <w:b/>
        </w:rPr>
        <w:lastRenderedPageBreak/>
        <w:t xml:space="preserve">Reporte:  Indicadores de Coyuntura de la Economía Internacional </w:t>
      </w:r>
    </w:p>
    <w:p w:rsidR="00787EB3" w:rsidRDefault="00787EB3" w:rsidP="00787EB3">
      <w:pPr>
        <w:spacing w:line="252" w:lineRule="auto"/>
        <w:jc w:val="both"/>
        <w:rPr>
          <w:rFonts w:ascii="Futura Lt BT" w:hAnsi="Futura Lt BT"/>
          <w:lang w:val="es-MX"/>
        </w:rPr>
      </w:pPr>
      <w:r>
        <w:rPr>
          <w:rFonts w:ascii="Futura Lt BT" w:hAnsi="Futura Lt BT"/>
          <w:lang w:val="es-MX"/>
        </w:rPr>
        <w:t xml:space="preserve">La actualización del Reporte de Indicadores de Coyuntura de la Economía Internacional muestra que la variación interanual de la inflación para la Región de Centroamérica y la República Dominicana (CARD) se ubicó en 2.8% a noviembre de 2018, la menor registrada hasta este mes durante 2018 e inferior a la observada en noviembre de 2017 (3.9%). Por su parte, en Estados Unidos se observó una tasa de inflación interanual de 2.2% y la Zona Euro, presentó una variación interanual de 2.0%. </w:t>
      </w:r>
    </w:p>
    <w:p w:rsidR="00787EB3" w:rsidRDefault="00787EB3" w:rsidP="00787EB3">
      <w:pPr>
        <w:spacing w:line="252" w:lineRule="auto"/>
        <w:jc w:val="both"/>
        <w:rPr>
          <w:rFonts w:ascii="Futura Lt BT" w:hAnsi="Futura Lt BT"/>
          <w:lang w:val="es-MX"/>
        </w:rPr>
      </w:pPr>
    </w:p>
    <w:p w:rsidR="00787EB3" w:rsidRDefault="00787EB3" w:rsidP="00787EB3">
      <w:pPr>
        <w:spacing w:line="252" w:lineRule="auto"/>
        <w:rPr>
          <w:rFonts w:ascii="Futura Lt BT" w:hAnsi="Futura Lt BT"/>
          <w:lang w:val="es-MX"/>
        </w:rPr>
      </w:pPr>
      <w:r>
        <w:rPr>
          <w:rFonts w:ascii="Futura Lt BT" w:hAnsi="Futura Lt BT"/>
          <w:lang w:val="es-MX"/>
        </w:rPr>
        <w:t xml:space="preserve">El reporte completo puede ser consultado en la página web de la SECMCA, específicamente en </w:t>
      </w:r>
      <w:hyperlink r:id="rId19" w:history="1">
        <w:r>
          <w:rPr>
            <w:rStyle w:val="Hipervnculo"/>
            <w:rFonts w:ascii="Futura Lt BT" w:hAnsi="Futura Lt BT"/>
            <w:lang w:val="es-MX"/>
          </w:rPr>
          <w:t>http://www.secmca.org/Informes.html</w:t>
        </w:r>
      </w:hyperlink>
      <w:r>
        <w:rPr>
          <w:rFonts w:ascii="Futura Lt BT" w:hAnsi="Futura Lt BT"/>
          <w:lang w:val="es-MX"/>
        </w:rPr>
        <w:t>.</w:t>
      </w: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1B51E1" w:rsidRDefault="001B51E1" w:rsidP="00787EB3">
      <w:pPr>
        <w:spacing w:line="252" w:lineRule="auto"/>
        <w:rPr>
          <w:rFonts w:ascii="Futura Lt BT" w:hAnsi="Futura Lt BT"/>
          <w:lang w:val="es-MX"/>
        </w:rPr>
      </w:pPr>
    </w:p>
    <w:p w:rsidR="00787EB3" w:rsidRPr="001B51E1" w:rsidRDefault="00787EB3" w:rsidP="00742E70">
      <w:pPr>
        <w:ind w:firstLine="708"/>
        <w:rPr>
          <w:b/>
          <w:lang w:val="es-MX"/>
        </w:rPr>
      </w:pPr>
      <w:r w:rsidRPr="001B51E1">
        <w:rPr>
          <w:b/>
          <w:lang w:val="es-MX"/>
        </w:rPr>
        <w:lastRenderedPageBreak/>
        <w:t>Noticia: Inflación</w:t>
      </w:r>
    </w:p>
    <w:p w:rsidR="00787EB3" w:rsidRDefault="00787EB3" w:rsidP="00742E70">
      <w:pPr>
        <w:ind w:firstLine="708"/>
        <w:rPr>
          <w:lang w:val="es-MX"/>
        </w:rPr>
      </w:pPr>
    </w:p>
    <w:p w:rsidR="00787EB3" w:rsidRPr="00787EB3" w:rsidRDefault="00787EB3" w:rsidP="00787EB3">
      <w:pPr>
        <w:ind w:firstLine="708"/>
        <w:rPr>
          <w:lang w:val="es-MX"/>
        </w:rPr>
      </w:pPr>
      <w:r>
        <w:rPr>
          <w:lang w:val="es-MX"/>
        </w:rPr>
        <w:t xml:space="preserve"> </w:t>
      </w:r>
      <w:r w:rsidRPr="00787EB3">
        <w:rPr>
          <w:lang w:val="es-MX"/>
        </w:rPr>
        <w:t>La República Dominicana registró una inflación de 1.17% durante el año 2018, la menor observada en los últimos 34 años, ubicándose por debajo del rango meta de 4.0%±1% establecido en el Programa Monetario en 2018. Por otra parte, la variación del IPC de diciembre de 2018 respecto al mes de noviembre fue de -0.22%.</w:t>
      </w:r>
    </w:p>
    <w:p w:rsidR="00787EB3" w:rsidRPr="00787EB3" w:rsidRDefault="00787EB3" w:rsidP="00787EB3">
      <w:pPr>
        <w:ind w:firstLine="708"/>
        <w:rPr>
          <w:lang w:val="es-MX"/>
        </w:rPr>
      </w:pPr>
    </w:p>
    <w:p w:rsidR="00787EB3" w:rsidRDefault="00787EB3" w:rsidP="00787EB3">
      <w:pPr>
        <w:ind w:firstLine="708"/>
        <w:rPr>
          <w:lang w:val="es-MX"/>
        </w:rPr>
      </w:pPr>
      <w:r w:rsidRPr="00787EB3">
        <w:rPr>
          <w:lang w:val="es-MX"/>
        </w:rPr>
        <w:t xml:space="preserve">Publicación: </w:t>
      </w:r>
      <w:hyperlink r:id="rId20" w:history="1">
        <w:r w:rsidRPr="00482FE8">
          <w:rPr>
            <w:rStyle w:val="Hipervnculo"/>
            <w:lang w:val="es-MX"/>
          </w:rPr>
          <w:t>https://www.bancentral.gov.do/a/d/4194-bcrd-informa-que-la-inflacion-cerro-el-ano-2018-en-117</w:t>
        </w:r>
      </w:hyperlink>
    </w:p>
    <w:p w:rsidR="00787EB3" w:rsidRDefault="00787EB3" w:rsidP="00787EB3">
      <w:pPr>
        <w:ind w:firstLine="708"/>
        <w:rPr>
          <w:lang w:val="es-MX"/>
        </w:rPr>
      </w:pPr>
    </w:p>
    <w:p w:rsidR="00787EB3" w:rsidRDefault="00787EB3" w:rsidP="00787EB3">
      <w:pPr>
        <w:ind w:firstLine="708"/>
        <w:rPr>
          <w:lang w:val="es-MX"/>
        </w:rPr>
      </w:pPr>
      <w:r>
        <w:rPr>
          <w:noProof/>
          <w:lang w:val="es-MX"/>
        </w:rPr>
        <w:drawing>
          <wp:inline distT="0" distB="0" distL="0" distR="0">
            <wp:extent cx="5905500" cy="37947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9.PNG"/>
                    <pic:cNvPicPr/>
                  </pic:nvPicPr>
                  <pic:blipFill>
                    <a:blip r:embed="rId21">
                      <a:extLst>
                        <a:ext uri="{28A0092B-C50C-407E-A947-70E740481C1C}">
                          <a14:useLocalDpi xmlns:a14="http://schemas.microsoft.com/office/drawing/2010/main" val="0"/>
                        </a:ext>
                      </a:extLst>
                    </a:blip>
                    <a:stretch>
                      <a:fillRect/>
                    </a:stretch>
                  </pic:blipFill>
                  <pic:spPr>
                    <a:xfrm>
                      <a:off x="0" y="0"/>
                      <a:ext cx="5905500" cy="3794760"/>
                    </a:xfrm>
                    <a:prstGeom prst="rect">
                      <a:avLst/>
                    </a:prstGeom>
                  </pic:spPr>
                </pic:pic>
              </a:graphicData>
            </a:graphic>
          </wp:inline>
        </w:drawing>
      </w:r>
    </w:p>
    <w:p w:rsidR="00377B33" w:rsidRDefault="00377B33" w:rsidP="00787EB3">
      <w:pPr>
        <w:ind w:firstLine="708"/>
        <w:rPr>
          <w:lang w:val="es-MX"/>
        </w:rPr>
      </w:pPr>
    </w:p>
    <w:p w:rsidR="00377B33" w:rsidRDefault="00377B33" w:rsidP="00787EB3">
      <w:pPr>
        <w:ind w:firstLine="708"/>
        <w:rPr>
          <w:lang w:val="es-MX"/>
        </w:rPr>
      </w:pPr>
    </w:p>
    <w:p w:rsidR="006003B4" w:rsidRDefault="006003B4" w:rsidP="00787EB3">
      <w:pPr>
        <w:ind w:firstLine="708"/>
        <w:rPr>
          <w:lang w:val="es-MX"/>
        </w:rPr>
      </w:pPr>
    </w:p>
    <w:p w:rsidR="006003B4" w:rsidRDefault="006003B4" w:rsidP="00787EB3">
      <w:pPr>
        <w:ind w:firstLine="708"/>
        <w:rPr>
          <w:lang w:val="es-MX"/>
        </w:rPr>
      </w:pPr>
    </w:p>
    <w:p w:rsidR="006003B4" w:rsidRDefault="006003B4" w:rsidP="00787EB3">
      <w:pPr>
        <w:ind w:firstLine="708"/>
        <w:rPr>
          <w:lang w:val="es-MX"/>
        </w:rPr>
      </w:pPr>
    </w:p>
    <w:p w:rsidR="006003B4" w:rsidRDefault="006003B4" w:rsidP="00787EB3">
      <w:pPr>
        <w:ind w:firstLine="708"/>
        <w:rPr>
          <w:lang w:val="es-MX"/>
        </w:rPr>
      </w:pPr>
    </w:p>
    <w:p w:rsidR="006003B4" w:rsidRDefault="006003B4" w:rsidP="00787EB3">
      <w:pPr>
        <w:ind w:firstLine="708"/>
        <w:rPr>
          <w:lang w:val="es-MX"/>
        </w:rPr>
      </w:pPr>
    </w:p>
    <w:p w:rsidR="006003B4" w:rsidRDefault="006003B4" w:rsidP="00787EB3">
      <w:pPr>
        <w:ind w:firstLine="708"/>
        <w:rPr>
          <w:lang w:val="es-MX"/>
        </w:rPr>
      </w:pPr>
    </w:p>
    <w:p w:rsidR="006003B4" w:rsidRDefault="006003B4" w:rsidP="00787EB3">
      <w:pPr>
        <w:ind w:firstLine="708"/>
        <w:rPr>
          <w:lang w:val="es-MX"/>
        </w:rPr>
      </w:pPr>
    </w:p>
    <w:p w:rsidR="006003B4" w:rsidRPr="001B51E1" w:rsidRDefault="006003B4" w:rsidP="00787EB3">
      <w:pPr>
        <w:ind w:firstLine="708"/>
        <w:rPr>
          <w:b/>
          <w:lang w:val="es-MX"/>
        </w:rPr>
      </w:pPr>
      <w:r w:rsidRPr="001B51E1">
        <w:rPr>
          <w:b/>
          <w:lang w:val="es-MX"/>
        </w:rPr>
        <w:t>Noticia: Inflación</w:t>
      </w:r>
    </w:p>
    <w:p w:rsidR="006003B4" w:rsidRDefault="006003B4" w:rsidP="00787EB3">
      <w:pPr>
        <w:ind w:firstLine="708"/>
        <w:rPr>
          <w:lang w:val="es-MX"/>
        </w:rPr>
      </w:pPr>
    </w:p>
    <w:p w:rsidR="006003B4" w:rsidRPr="006003B4" w:rsidRDefault="006003B4" w:rsidP="006003B4">
      <w:pPr>
        <w:ind w:firstLine="708"/>
        <w:rPr>
          <w:lang w:val="es-MX"/>
        </w:rPr>
      </w:pPr>
      <w:r>
        <w:rPr>
          <w:lang w:val="es-MX"/>
        </w:rPr>
        <w:t xml:space="preserve"> </w:t>
      </w:r>
      <w:r w:rsidRPr="006003B4">
        <w:rPr>
          <w:lang w:val="es-MX"/>
        </w:rPr>
        <w:t xml:space="preserve">El Índice de Precios al Consumidor (IPC) de Costa Rica registró una variación mensual de 0.21% en diciembre de </w:t>
      </w:r>
      <w:r w:rsidR="001B51E1" w:rsidRPr="006003B4">
        <w:rPr>
          <w:lang w:val="es-MX"/>
        </w:rPr>
        <w:t>2018 (</w:t>
      </w:r>
      <w:r w:rsidRPr="006003B4">
        <w:rPr>
          <w:lang w:val="es-MX"/>
        </w:rPr>
        <w:t>doce meses atrás fue de 0.47%). Los grupos que más aportaron a esta variación fueron: Entretenimiento y cultura; y Bebidas alcohólicas y cigarrillos. En términos interanuales la inflación para este mes fue de 2.03% (2.57% en diciembre 2017).</w:t>
      </w:r>
    </w:p>
    <w:p w:rsidR="006003B4" w:rsidRPr="006003B4" w:rsidRDefault="006003B4" w:rsidP="006003B4">
      <w:pPr>
        <w:ind w:firstLine="708"/>
        <w:rPr>
          <w:lang w:val="es-MX"/>
        </w:rPr>
      </w:pPr>
    </w:p>
    <w:p w:rsidR="006003B4" w:rsidRPr="006003B4" w:rsidRDefault="006003B4" w:rsidP="006003B4">
      <w:pPr>
        <w:ind w:firstLine="708"/>
        <w:rPr>
          <w:lang w:val="es-MX"/>
        </w:rPr>
      </w:pPr>
      <w:r w:rsidRPr="006003B4">
        <w:rPr>
          <w:lang w:val="es-MX"/>
        </w:rPr>
        <w:t xml:space="preserve">Publicación: </w:t>
      </w:r>
    </w:p>
    <w:p w:rsidR="006003B4" w:rsidRDefault="00976943" w:rsidP="006003B4">
      <w:pPr>
        <w:ind w:firstLine="708"/>
        <w:rPr>
          <w:lang w:val="es-MX"/>
        </w:rPr>
      </w:pPr>
      <w:hyperlink r:id="rId22" w:history="1">
        <w:r w:rsidR="006003B4" w:rsidRPr="00482FE8">
          <w:rPr>
            <w:rStyle w:val="Hipervnculo"/>
            <w:lang w:val="es-MX"/>
          </w:rPr>
          <w:t>http://www.inec.go.cr/sites/default/files/documetos-biblioteca-virtual/aneconomipc122018-01.pdf</w:t>
        </w:r>
      </w:hyperlink>
    </w:p>
    <w:p w:rsidR="006003B4" w:rsidRDefault="006003B4" w:rsidP="006003B4">
      <w:pPr>
        <w:ind w:firstLine="708"/>
        <w:rPr>
          <w:lang w:val="es-MX"/>
        </w:rPr>
      </w:pPr>
    </w:p>
    <w:p w:rsidR="006003B4" w:rsidRDefault="006003B4" w:rsidP="006003B4">
      <w:pPr>
        <w:ind w:firstLine="708"/>
        <w:rPr>
          <w:lang w:val="es-MX"/>
        </w:rPr>
      </w:pPr>
      <w:r>
        <w:rPr>
          <w:noProof/>
          <w:lang w:val="es-MX"/>
        </w:rPr>
        <w:drawing>
          <wp:inline distT="0" distB="0" distL="0" distR="0">
            <wp:extent cx="5612130" cy="394843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23">
                      <a:extLst>
                        <a:ext uri="{28A0092B-C50C-407E-A947-70E740481C1C}">
                          <a14:useLocalDpi xmlns:a14="http://schemas.microsoft.com/office/drawing/2010/main" val="0"/>
                        </a:ext>
                      </a:extLst>
                    </a:blip>
                    <a:stretch>
                      <a:fillRect/>
                    </a:stretch>
                  </pic:blipFill>
                  <pic:spPr>
                    <a:xfrm>
                      <a:off x="0" y="0"/>
                      <a:ext cx="5612130" cy="3948430"/>
                    </a:xfrm>
                    <a:prstGeom prst="rect">
                      <a:avLst/>
                    </a:prstGeom>
                  </pic:spPr>
                </pic:pic>
              </a:graphicData>
            </a:graphic>
          </wp:inline>
        </w:drawing>
      </w:r>
    </w:p>
    <w:p w:rsidR="009B6B29" w:rsidRDefault="009B6B29" w:rsidP="006003B4">
      <w:pPr>
        <w:ind w:firstLine="708"/>
        <w:rPr>
          <w:lang w:val="es-MX"/>
        </w:rPr>
      </w:pPr>
    </w:p>
    <w:p w:rsidR="009B6B29" w:rsidRDefault="009B6B29" w:rsidP="006003B4">
      <w:pPr>
        <w:ind w:firstLine="708"/>
        <w:rPr>
          <w:lang w:val="es-MX"/>
        </w:rPr>
      </w:pPr>
    </w:p>
    <w:p w:rsidR="009B6B29" w:rsidRDefault="009B6B29" w:rsidP="006003B4">
      <w:pPr>
        <w:ind w:firstLine="708"/>
        <w:rPr>
          <w:lang w:val="es-MX"/>
        </w:rPr>
      </w:pPr>
    </w:p>
    <w:p w:rsidR="009B6B29" w:rsidRDefault="009B6B29" w:rsidP="006003B4">
      <w:pPr>
        <w:ind w:firstLine="708"/>
        <w:rPr>
          <w:lang w:val="es-MX"/>
        </w:rPr>
      </w:pPr>
    </w:p>
    <w:p w:rsidR="009B6B29" w:rsidRDefault="009B6B29" w:rsidP="006003B4">
      <w:pPr>
        <w:ind w:firstLine="708"/>
        <w:rPr>
          <w:lang w:val="es-MX"/>
        </w:rPr>
      </w:pPr>
    </w:p>
    <w:p w:rsidR="009B6B29" w:rsidRDefault="009B6B29" w:rsidP="006003B4">
      <w:pPr>
        <w:ind w:firstLine="708"/>
        <w:rPr>
          <w:lang w:val="es-MX"/>
        </w:rPr>
      </w:pPr>
    </w:p>
    <w:p w:rsidR="009B6B29" w:rsidRPr="001B51E1" w:rsidRDefault="009B6B29" w:rsidP="006003B4">
      <w:pPr>
        <w:ind w:firstLine="708"/>
        <w:rPr>
          <w:b/>
          <w:lang w:val="es-MX"/>
        </w:rPr>
      </w:pPr>
      <w:r w:rsidRPr="001B51E1">
        <w:rPr>
          <w:b/>
          <w:lang w:val="es-MX"/>
        </w:rPr>
        <w:t xml:space="preserve">Noticia: Producto Interno Bruto </w:t>
      </w:r>
    </w:p>
    <w:p w:rsidR="009B6B29" w:rsidRDefault="009B6B29" w:rsidP="006003B4">
      <w:pPr>
        <w:ind w:firstLine="708"/>
        <w:rPr>
          <w:lang w:val="es-MX"/>
        </w:rPr>
      </w:pPr>
    </w:p>
    <w:p w:rsidR="009B6B29" w:rsidRPr="009B6B29" w:rsidRDefault="009B6B29" w:rsidP="009B6B29">
      <w:pPr>
        <w:ind w:firstLine="708"/>
        <w:rPr>
          <w:lang w:val="es-MX"/>
        </w:rPr>
      </w:pPr>
      <w:r w:rsidRPr="009B6B29">
        <w:rPr>
          <w:lang w:val="es-MX"/>
        </w:rPr>
        <w:t>III Trimestre 2018</w:t>
      </w:r>
    </w:p>
    <w:p w:rsidR="009B6B29" w:rsidRPr="001B51E1" w:rsidRDefault="009B6B29" w:rsidP="009B6B29">
      <w:pPr>
        <w:ind w:firstLine="708"/>
        <w:rPr>
          <w:b/>
          <w:lang w:val="es-MX"/>
        </w:rPr>
      </w:pPr>
      <w:r w:rsidRPr="001B51E1">
        <w:rPr>
          <w:b/>
          <w:lang w:val="es-MX"/>
        </w:rPr>
        <w:t>Nicaragua</w:t>
      </w:r>
    </w:p>
    <w:p w:rsidR="009B6B29" w:rsidRPr="009B6B29" w:rsidRDefault="009B6B29" w:rsidP="009B6B29">
      <w:pPr>
        <w:ind w:firstLine="708"/>
        <w:rPr>
          <w:lang w:val="es-MX"/>
        </w:rPr>
      </w:pPr>
    </w:p>
    <w:p w:rsidR="009B6B29" w:rsidRPr="009B6B29" w:rsidRDefault="009B6B29" w:rsidP="009B6B29">
      <w:pPr>
        <w:ind w:firstLine="708"/>
        <w:rPr>
          <w:lang w:val="es-MX"/>
        </w:rPr>
      </w:pPr>
      <w:r w:rsidRPr="009B6B29">
        <w:rPr>
          <w:lang w:val="es-MX"/>
        </w:rPr>
        <w:t xml:space="preserve">El Banco Central de Nicaragua reportó que el Producto Interno Bruto (PIB) real al tercer trimestre de 2018 registró una tasa de variación interanual de -4.8% (3.2% al III Trimestre 2017). De acuerdo con la medición del PIB por el origen de la producción, el </w:t>
      </w:r>
      <w:r w:rsidR="001B51E1" w:rsidRPr="009B6B29">
        <w:rPr>
          <w:lang w:val="es-MX"/>
        </w:rPr>
        <w:t>resultado estuvo</w:t>
      </w:r>
      <w:r w:rsidRPr="009B6B29">
        <w:rPr>
          <w:lang w:val="es-MX"/>
        </w:rPr>
        <w:t xml:space="preserve"> asociada principalmente a disminuciones en la actividad de los sectores de Hoteles y Restaurantes; Comercio; Construcción; Intermediación financiera; y Transporte y comunicación.</w:t>
      </w:r>
    </w:p>
    <w:p w:rsidR="009B6B29" w:rsidRPr="009B6B29" w:rsidRDefault="009B6B29" w:rsidP="009B6B29">
      <w:pPr>
        <w:ind w:firstLine="708"/>
        <w:rPr>
          <w:lang w:val="es-MX"/>
        </w:rPr>
      </w:pPr>
    </w:p>
    <w:p w:rsidR="009B6B29" w:rsidRPr="009B6B29" w:rsidRDefault="009B6B29" w:rsidP="009B6B29">
      <w:pPr>
        <w:ind w:firstLine="708"/>
        <w:rPr>
          <w:lang w:val="es-MX"/>
        </w:rPr>
      </w:pPr>
      <w:r w:rsidRPr="009B6B29">
        <w:rPr>
          <w:lang w:val="es-MX"/>
        </w:rPr>
        <w:t xml:space="preserve"> </w:t>
      </w:r>
    </w:p>
    <w:p w:rsidR="009B6B29" w:rsidRDefault="009B6B29" w:rsidP="009B6B29">
      <w:pPr>
        <w:ind w:firstLine="708"/>
        <w:rPr>
          <w:lang w:val="es-MX"/>
        </w:rPr>
      </w:pPr>
      <w:r w:rsidRPr="009B6B29">
        <w:rPr>
          <w:lang w:val="es-MX"/>
        </w:rPr>
        <w:t>https://www.bcn.gob.ni/publicaciones/periodicidad/trimestral/cuentas_nacionales/cuentas_nacionales_3.pdf</w:t>
      </w:r>
      <w:r w:rsidRPr="009B6B29">
        <w:rPr>
          <w:lang w:val="es-MX"/>
        </w:rPr>
        <w:cr/>
      </w:r>
    </w:p>
    <w:p w:rsidR="009B6B29" w:rsidRDefault="009B6B29" w:rsidP="009B6B29">
      <w:pPr>
        <w:ind w:firstLine="708"/>
        <w:rPr>
          <w:lang w:val="es-MX"/>
        </w:rPr>
      </w:pPr>
      <w:r>
        <w:rPr>
          <w:noProof/>
          <w:lang w:val="es-MX"/>
        </w:rPr>
        <w:drawing>
          <wp:inline distT="0" distB="0" distL="0" distR="0">
            <wp:extent cx="5612130" cy="3341370"/>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11.PNG"/>
                    <pic:cNvPicPr/>
                  </pic:nvPicPr>
                  <pic:blipFill>
                    <a:blip r:embed="rId24">
                      <a:extLst>
                        <a:ext uri="{28A0092B-C50C-407E-A947-70E740481C1C}">
                          <a14:useLocalDpi xmlns:a14="http://schemas.microsoft.com/office/drawing/2010/main" val="0"/>
                        </a:ext>
                      </a:extLst>
                    </a:blip>
                    <a:stretch>
                      <a:fillRect/>
                    </a:stretch>
                  </pic:blipFill>
                  <pic:spPr>
                    <a:xfrm>
                      <a:off x="0" y="0"/>
                      <a:ext cx="5612130" cy="3341370"/>
                    </a:xfrm>
                    <a:prstGeom prst="rect">
                      <a:avLst/>
                    </a:prstGeom>
                  </pic:spPr>
                </pic:pic>
              </a:graphicData>
            </a:graphic>
          </wp:inline>
        </w:drawing>
      </w:r>
    </w:p>
    <w:p w:rsidR="009B6B29" w:rsidRDefault="009B6B29" w:rsidP="006003B4">
      <w:pPr>
        <w:ind w:firstLine="708"/>
        <w:rPr>
          <w:lang w:val="es-MX"/>
        </w:rPr>
      </w:pPr>
    </w:p>
    <w:p w:rsidR="009B6B29" w:rsidRDefault="009B6B29" w:rsidP="006003B4">
      <w:pPr>
        <w:ind w:firstLine="708"/>
        <w:rPr>
          <w:lang w:val="es-MX"/>
        </w:rPr>
      </w:pPr>
    </w:p>
    <w:p w:rsidR="009B6B29" w:rsidRDefault="009B6B29" w:rsidP="006003B4">
      <w:pPr>
        <w:ind w:firstLine="708"/>
        <w:rPr>
          <w:lang w:val="es-MX"/>
        </w:rPr>
      </w:pPr>
    </w:p>
    <w:p w:rsidR="009B6B29" w:rsidRDefault="009B6B29" w:rsidP="006003B4">
      <w:pPr>
        <w:ind w:firstLine="708"/>
        <w:rPr>
          <w:lang w:val="es-MX"/>
        </w:rPr>
      </w:pPr>
    </w:p>
    <w:p w:rsidR="009B6B29" w:rsidRPr="001B51E1" w:rsidRDefault="009B6B29" w:rsidP="006003B4">
      <w:pPr>
        <w:ind w:firstLine="708"/>
        <w:rPr>
          <w:b/>
          <w:lang w:val="es-MX"/>
        </w:rPr>
      </w:pPr>
      <w:r w:rsidRPr="001B51E1">
        <w:rPr>
          <w:b/>
          <w:lang w:val="es-MX"/>
        </w:rPr>
        <w:t>Noticia: Inflación</w:t>
      </w:r>
    </w:p>
    <w:p w:rsidR="009B6B29" w:rsidRPr="009B6B29" w:rsidRDefault="009B6B29" w:rsidP="009B6B29">
      <w:pPr>
        <w:ind w:firstLine="708"/>
        <w:rPr>
          <w:lang w:val="es-MX"/>
        </w:rPr>
      </w:pPr>
      <w:r w:rsidRPr="009B6B29">
        <w:rPr>
          <w:lang w:val="es-MX"/>
        </w:rPr>
        <w:t>El Salvador registró una variación mensual en el IPC de -0.47% en diciembre 2018 (0.18% en igual mes del año anterior), determinada principalmente por los grupos de Transporte y Prendas de vestir y calzado. La inflación interanual para este mes fue de 0.43%, inferior a la observada doce meses atrás (2.04%).</w:t>
      </w:r>
    </w:p>
    <w:p w:rsidR="009B6B29" w:rsidRPr="009B6B29" w:rsidRDefault="009B6B29" w:rsidP="009B6B29">
      <w:pPr>
        <w:ind w:firstLine="708"/>
        <w:rPr>
          <w:lang w:val="es-MX"/>
        </w:rPr>
      </w:pPr>
    </w:p>
    <w:p w:rsidR="009B6B29" w:rsidRDefault="009B6B29" w:rsidP="009B6B29">
      <w:pPr>
        <w:ind w:firstLine="708"/>
        <w:rPr>
          <w:lang w:val="es-MX"/>
        </w:rPr>
      </w:pPr>
      <w:r w:rsidRPr="009B6B29">
        <w:rPr>
          <w:lang w:val="es-MX"/>
        </w:rPr>
        <w:t xml:space="preserve">Publicación: </w:t>
      </w:r>
      <w:hyperlink r:id="rId25" w:history="1">
        <w:r w:rsidRPr="00482FE8">
          <w:rPr>
            <w:rStyle w:val="Hipervnculo"/>
            <w:lang w:val="es-MX"/>
          </w:rPr>
          <w:t>https://www.bcr.gob.sv/bcrsite/?x21=73&amp;lang=es</w:t>
        </w:r>
      </w:hyperlink>
    </w:p>
    <w:p w:rsidR="009B6B29" w:rsidRDefault="009B6B29" w:rsidP="009B6B29">
      <w:pPr>
        <w:ind w:firstLine="708"/>
        <w:rPr>
          <w:lang w:val="es-MX"/>
        </w:rPr>
      </w:pPr>
    </w:p>
    <w:p w:rsidR="009B6B29" w:rsidRDefault="009B6B29" w:rsidP="009B6B29">
      <w:pPr>
        <w:ind w:firstLine="708"/>
        <w:rPr>
          <w:lang w:val="es-MX"/>
        </w:rPr>
      </w:pPr>
      <w:r>
        <w:rPr>
          <w:noProof/>
          <w:lang w:val="es-MX"/>
        </w:rPr>
        <w:drawing>
          <wp:inline distT="0" distB="0" distL="0" distR="0">
            <wp:extent cx="5612130" cy="383540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12.PNG"/>
                    <pic:cNvPicPr/>
                  </pic:nvPicPr>
                  <pic:blipFill>
                    <a:blip r:embed="rId26">
                      <a:extLst>
                        <a:ext uri="{28A0092B-C50C-407E-A947-70E740481C1C}">
                          <a14:useLocalDpi xmlns:a14="http://schemas.microsoft.com/office/drawing/2010/main" val="0"/>
                        </a:ext>
                      </a:extLst>
                    </a:blip>
                    <a:stretch>
                      <a:fillRect/>
                    </a:stretch>
                  </pic:blipFill>
                  <pic:spPr>
                    <a:xfrm>
                      <a:off x="0" y="0"/>
                      <a:ext cx="5612130" cy="3835400"/>
                    </a:xfrm>
                    <a:prstGeom prst="rect">
                      <a:avLst/>
                    </a:prstGeom>
                  </pic:spPr>
                </pic:pic>
              </a:graphicData>
            </a:graphic>
          </wp:inline>
        </w:drawing>
      </w:r>
    </w:p>
    <w:p w:rsidR="009B6B29" w:rsidRDefault="009B6B29" w:rsidP="006003B4">
      <w:pPr>
        <w:ind w:firstLine="708"/>
        <w:rPr>
          <w:lang w:val="es-MX"/>
        </w:rPr>
      </w:pPr>
      <w:r>
        <w:rPr>
          <w:lang w:val="es-MX"/>
        </w:rPr>
        <w:t xml:space="preserve"> </w:t>
      </w:r>
    </w:p>
    <w:p w:rsidR="00A20FE1" w:rsidRDefault="00A20FE1" w:rsidP="006003B4">
      <w:pPr>
        <w:ind w:firstLine="708"/>
        <w:rPr>
          <w:lang w:val="es-MX"/>
        </w:rPr>
      </w:pPr>
    </w:p>
    <w:p w:rsidR="00A20FE1" w:rsidRDefault="00A20FE1" w:rsidP="006003B4">
      <w:pPr>
        <w:ind w:firstLine="708"/>
        <w:rPr>
          <w:lang w:val="es-MX"/>
        </w:rPr>
      </w:pPr>
    </w:p>
    <w:p w:rsidR="00A20FE1" w:rsidRDefault="00A20FE1" w:rsidP="006003B4">
      <w:pPr>
        <w:ind w:firstLine="708"/>
        <w:rPr>
          <w:lang w:val="es-MX"/>
        </w:rPr>
      </w:pPr>
    </w:p>
    <w:p w:rsidR="00A20FE1" w:rsidRDefault="00A20FE1" w:rsidP="006003B4">
      <w:pPr>
        <w:ind w:firstLine="708"/>
        <w:rPr>
          <w:lang w:val="es-MX"/>
        </w:rPr>
      </w:pPr>
    </w:p>
    <w:p w:rsidR="00A20FE1" w:rsidRDefault="00A20FE1" w:rsidP="006003B4">
      <w:pPr>
        <w:ind w:firstLine="708"/>
        <w:rPr>
          <w:lang w:val="es-MX"/>
        </w:rPr>
      </w:pPr>
    </w:p>
    <w:p w:rsidR="009B6B29" w:rsidRPr="001B51E1" w:rsidRDefault="00A20FE1" w:rsidP="006003B4">
      <w:pPr>
        <w:ind w:firstLine="708"/>
        <w:rPr>
          <w:b/>
          <w:lang w:val="es-MX"/>
        </w:rPr>
      </w:pPr>
      <w:r w:rsidRPr="001B51E1">
        <w:rPr>
          <w:b/>
          <w:lang w:val="es-MX"/>
        </w:rPr>
        <w:t>Noticia: Producto Interno Bruto</w:t>
      </w:r>
    </w:p>
    <w:p w:rsidR="00A20FE1" w:rsidRPr="00A20FE1" w:rsidRDefault="00A20FE1" w:rsidP="00A20FE1">
      <w:pPr>
        <w:ind w:firstLine="708"/>
        <w:rPr>
          <w:lang w:val="es-MX"/>
        </w:rPr>
      </w:pPr>
      <w:r w:rsidRPr="00A20FE1">
        <w:rPr>
          <w:lang w:val="es-MX"/>
        </w:rPr>
        <w:t>III Trimestre 2018</w:t>
      </w:r>
    </w:p>
    <w:p w:rsidR="00A20FE1" w:rsidRPr="001B51E1" w:rsidRDefault="00A20FE1" w:rsidP="00A20FE1">
      <w:pPr>
        <w:ind w:firstLine="708"/>
        <w:rPr>
          <w:b/>
          <w:lang w:val="es-MX"/>
        </w:rPr>
      </w:pPr>
      <w:r w:rsidRPr="001B51E1">
        <w:rPr>
          <w:b/>
          <w:lang w:val="es-MX"/>
        </w:rPr>
        <w:t>Nicaragua</w:t>
      </w:r>
    </w:p>
    <w:p w:rsidR="00A20FE1" w:rsidRPr="00A20FE1" w:rsidRDefault="00A20FE1" w:rsidP="00A20FE1">
      <w:pPr>
        <w:ind w:firstLine="708"/>
        <w:rPr>
          <w:lang w:val="es-MX"/>
        </w:rPr>
      </w:pPr>
    </w:p>
    <w:p w:rsidR="00A20FE1" w:rsidRPr="00A20FE1" w:rsidRDefault="00A20FE1" w:rsidP="00A20FE1">
      <w:pPr>
        <w:ind w:firstLine="708"/>
        <w:rPr>
          <w:lang w:val="es-MX"/>
        </w:rPr>
      </w:pPr>
      <w:r w:rsidRPr="00A20FE1">
        <w:rPr>
          <w:lang w:val="es-MX"/>
        </w:rPr>
        <w:t>El Banco Central de Nicaragua reportó que el Producto Interno Bruto (PIB) real al tercer trimestre de 2018 registró una tasa de variación interanual de -4.8% (3.2% al III Trimestre 2017). De acuerdo con la medición del PIB por el origen de la producción, el resultado  estuvo asociada principalmente a disminuciones en la actividad de los sectores de Hoteles y Restaurantes; Comercio; Construcción; Intermediación financiera; y Transporte y comunicación.</w:t>
      </w:r>
    </w:p>
    <w:p w:rsidR="00A20FE1" w:rsidRPr="00A20FE1" w:rsidRDefault="00A20FE1" w:rsidP="00A20FE1">
      <w:pPr>
        <w:ind w:firstLine="708"/>
        <w:rPr>
          <w:lang w:val="es-MX"/>
        </w:rPr>
      </w:pPr>
    </w:p>
    <w:p w:rsidR="00A20FE1" w:rsidRPr="00A20FE1" w:rsidRDefault="00A20FE1" w:rsidP="00A20FE1">
      <w:pPr>
        <w:ind w:firstLine="708"/>
        <w:rPr>
          <w:lang w:val="es-MX"/>
        </w:rPr>
      </w:pPr>
      <w:r w:rsidRPr="00A20FE1">
        <w:rPr>
          <w:lang w:val="es-MX"/>
        </w:rPr>
        <w:t xml:space="preserve"> </w:t>
      </w:r>
    </w:p>
    <w:p w:rsidR="00A20FE1" w:rsidRDefault="00A20FE1" w:rsidP="00A20FE1">
      <w:pPr>
        <w:ind w:firstLine="708"/>
        <w:rPr>
          <w:lang w:val="es-MX"/>
        </w:rPr>
      </w:pPr>
      <w:r w:rsidRPr="00A20FE1">
        <w:rPr>
          <w:lang w:val="es-MX"/>
        </w:rPr>
        <w:t>https://www.bcn.gob.ni/publicaciones/periodicidad/trimestral/cuentas_nacionales/cuentas_nacionales_3.pdf</w:t>
      </w:r>
      <w:r w:rsidRPr="00A20FE1">
        <w:rPr>
          <w:lang w:val="es-MX"/>
        </w:rPr>
        <w:cr/>
      </w:r>
      <w:r>
        <w:rPr>
          <w:noProof/>
          <w:lang w:val="es-MX"/>
        </w:rPr>
        <w:drawing>
          <wp:inline distT="0" distB="0" distL="0" distR="0">
            <wp:extent cx="5612130" cy="333883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3.PNG"/>
                    <pic:cNvPicPr/>
                  </pic:nvPicPr>
                  <pic:blipFill>
                    <a:blip r:embed="rId27">
                      <a:extLst>
                        <a:ext uri="{28A0092B-C50C-407E-A947-70E740481C1C}">
                          <a14:useLocalDpi xmlns:a14="http://schemas.microsoft.com/office/drawing/2010/main" val="0"/>
                        </a:ext>
                      </a:extLst>
                    </a:blip>
                    <a:stretch>
                      <a:fillRect/>
                    </a:stretch>
                  </pic:blipFill>
                  <pic:spPr>
                    <a:xfrm>
                      <a:off x="0" y="0"/>
                      <a:ext cx="5612130" cy="3338830"/>
                    </a:xfrm>
                    <a:prstGeom prst="rect">
                      <a:avLst/>
                    </a:prstGeom>
                  </pic:spPr>
                </pic:pic>
              </a:graphicData>
            </a:graphic>
          </wp:inline>
        </w:drawing>
      </w:r>
    </w:p>
    <w:p w:rsidR="00185AB4" w:rsidRDefault="00185AB4" w:rsidP="00A20FE1">
      <w:pPr>
        <w:ind w:firstLine="708"/>
        <w:rPr>
          <w:lang w:val="es-MX"/>
        </w:rPr>
      </w:pPr>
    </w:p>
    <w:p w:rsidR="00185AB4" w:rsidRDefault="00185AB4" w:rsidP="00A20FE1">
      <w:pPr>
        <w:ind w:firstLine="708"/>
        <w:rPr>
          <w:lang w:val="es-MX"/>
        </w:rPr>
      </w:pPr>
    </w:p>
    <w:p w:rsidR="00185AB4" w:rsidRDefault="00185AB4" w:rsidP="00A20FE1">
      <w:pPr>
        <w:ind w:firstLine="708"/>
        <w:rPr>
          <w:lang w:val="es-MX"/>
        </w:rPr>
      </w:pPr>
    </w:p>
    <w:p w:rsidR="00185AB4" w:rsidRDefault="00185AB4" w:rsidP="00A20FE1">
      <w:pPr>
        <w:ind w:firstLine="708"/>
        <w:rPr>
          <w:lang w:val="es-MX"/>
        </w:rPr>
      </w:pPr>
    </w:p>
    <w:p w:rsidR="00185AB4" w:rsidRDefault="00185AB4" w:rsidP="00A20FE1">
      <w:pPr>
        <w:ind w:firstLine="708"/>
        <w:rPr>
          <w:lang w:val="es-MX"/>
        </w:rPr>
      </w:pPr>
    </w:p>
    <w:p w:rsidR="00185AB4" w:rsidRDefault="00185AB4" w:rsidP="00A20FE1">
      <w:pPr>
        <w:ind w:firstLine="708"/>
        <w:rPr>
          <w:lang w:val="es-MX"/>
        </w:rPr>
      </w:pPr>
    </w:p>
    <w:p w:rsidR="00185AB4" w:rsidRPr="00165D4C" w:rsidRDefault="00185AB4" w:rsidP="00A20FE1">
      <w:pPr>
        <w:ind w:firstLine="708"/>
        <w:rPr>
          <w:b/>
          <w:lang w:val="es-MX"/>
        </w:rPr>
      </w:pPr>
      <w:r w:rsidRPr="00165D4C">
        <w:rPr>
          <w:b/>
          <w:lang w:val="es-MX"/>
        </w:rPr>
        <w:t xml:space="preserve">Noticia:  Producto Interno Bruto </w:t>
      </w:r>
    </w:p>
    <w:p w:rsidR="00185AB4" w:rsidRDefault="00185AB4" w:rsidP="00A20FE1">
      <w:pPr>
        <w:ind w:firstLine="708"/>
        <w:rPr>
          <w:lang w:val="es-MX"/>
        </w:rPr>
      </w:pPr>
    </w:p>
    <w:p w:rsidR="00185AB4" w:rsidRPr="00185AB4" w:rsidRDefault="00185AB4" w:rsidP="00185AB4">
      <w:pPr>
        <w:ind w:firstLine="708"/>
        <w:rPr>
          <w:lang w:val="es-MX"/>
        </w:rPr>
      </w:pPr>
      <w:r w:rsidRPr="00185AB4">
        <w:rPr>
          <w:lang w:val="es-MX"/>
        </w:rPr>
        <w:t>III Trimestre 2018</w:t>
      </w:r>
    </w:p>
    <w:p w:rsidR="00185AB4" w:rsidRPr="00165D4C" w:rsidRDefault="00185AB4" w:rsidP="00185AB4">
      <w:pPr>
        <w:ind w:firstLine="708"/>
        <w:rPr>
          <w:b/>
          <w:lang w:val="es-MX"/>
        </w:rPr>
      </w:pPr>
      <w:r w:rsidRPr="00165D4C">
        <w:rPr>
          <w:b/>
          <w:lang w:val="es-MX"/>
        </w:rPr>
        <w:t>Guatemala</w:t>
      </w:r>
    </w:p>
    <w:p w:rsidR="00185AB4" w:rsidRPr="00185AB4" w:rsidRDefault="00185AB4" w:rsidP="00185AB4">
      <w:pPr>
        <w:ind w:firstLine="708"/>
        <w:rPr>
          <w:lang w:val="es-MX"/>
        </w:rPr>
      </w:pPr>
    </w:p>
    <w:p w:rsidR="00185AB4" w:rsidRPr="00185AB4" w:rsidRDefault="00185AB4" w:rsidP="00185AB4">
      <w:pPr>
        <w:ind w:firstLine="708"/>
        <w:rPr>
          <w:lang w:val="es-MX"/>
        </w:rPr>
      </w:pPr>
      <w:r w:rsidRPr="00185AB4">
        <w:rPr>
          <w:lang w:val="es-MX"/>
        </w:rPr>
        <w:t>El Banco de Guatemala reportó que el Producto Interno Bruto (PIB) real al tercer trimestre de 2018 creció a una tasa interanual de 3.5% (2.7% al III Trimestre 2017). En cuanto a la medición del PIB por el origen de la producción, destaca el comportamiento registrado por la actividades de Comercio al por mayor y al por menor; Industrias Manufactureras; Servicios privados; Agricultura, ganadería, caza, silvicultura y pesca; Suministro de electricidad y captación de agua; e Intermediación financiera, seguros y actividades auxiliares; entre otros.</w:t>
      </w:r>
    </w:p>
    <w:p w:rsidR="00185AB4" w:rsidRPr="00185AB4" w:rsidRDefault="00185AB4" w:rsidP="00185AB4">
      <w:pPr>
        <w:ind w:firstLine="708"/>
        <w:rPr>
          <w:lang w:val="es-MX"/>
        </w:rPr>
      </w:pPr>
    </w:p>
    <w:p w:rsidR="00185AB4" w:rsidRPr="00185AB4" w:rsidRDefault="00185AB4" w:rsidP="00185AB4">
      <w:pPr>
        <w:ind w:firstLine="708"/>
        <w:rPr>
          <w:lang w:val="es-MX"/>
        </w:rPr>
      </w:pPr>
      <w:r w:rsidRPr="00185AB4">
        <w:rPr>
          <w:lang w:val="es-MX"/>
        </w:rPr>
        <w:t xml:space="preserve"> </w:t>
      </w:r>
      <w:r w:rsidRPr="00185AB4">
        <w:rPr>
          <w:lang w:val="es-MX"/>
        </w:rPr>
        <w:tab/>
        <w:t xml:space="preserve"> </w:t>
      </w:r>
    </w:p>
    <w:p w:rsidR="00185AB4" w:rsidRDefault="00185AB4" w:rsidP="00185AB4">
      <w:pPr>
        <w:ind w:firstLine="708"/>
        <w:rPr>
          <w:lang w:val="es-MX"/>
        </w:rPr>
      </w:pPr>
      <w:r w:rsidRPr="00185AB4">
        <w:rPr>
          <w:lang w:val="es-MX"/>
        </w:rPr>
        <w:t>http://www.banguat.gob.gt/cuentasnac/3T_2018_JM.pdf</w:t>
      </w:r>
      <w:r w:rsidRPr="00185AB4">
        <w:rPr>
          <w:lang w:val="es-MX"/>
        </w:rPr>
        <w:cr/>
      </w:r>
      <w:r>
        <w:rPr>
          <w:noProof/>
          <w:lang w:val="es-MX"/>
        </w:rPr>
        <w:drawing>
          <wp:inline distT="0" distB="0" distL="0" distR="0">
            <wp:extent cx="5315692" cy="3915321"/>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14.PNG"/>
                    <pic:cNvPicPr/>
                  </pic:nvPicPr>
                  <pic:blipFill>
                    <a:blip r:embed="rId28">
                      <a:extLst>
                        <a:ext uri="{28A0092B-C50C-407E-A947-70E740481C1C}">
                          <a14:useLocalDpi xmlns:a14="http://schemas.microsoft.com/office/drawing/2010/main" val="0"/>
                        </a:ext>
                      </a:extLst>
                    </a:blip>
                    <a:stretch>
                      <a:fillRect/>
                    </a:stretch>
                  </pic:blipFill>
                  <pic:spPr>
                    <a:xfrm>
                      <a:off x="0" y="0"/>
                      <a:ext cx="5315692" cy="3915321"/>
                    </a:xfrm>
                    <a:prstGeom prst="rect">
                      <a:avLst/>
                    </a:prstGeom>
                  </pic:spPr>
                </pic:pic>
              </a:graphicData>
            </a:graphic>
          </wp:inline>
        </w:drawing>
      </w: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Pr="00165D4C" w:rsidRDefault="00185AB4" w:rsidP="00185AB4">
      <w:pPr>
        <w:ind w:firstLine="708"/>
        <w:rPr>
          <w:b/>
          <w:lang w:val="es-MX"/>
        </w:rPr>
      </w:pPr>
      <w:r w:rsidRPr="00165D4C">
        <w:rPr>
          <w:b/>
          <w:lang w:val="es-MX"/>
        </w:rPr>
        <w:t>Noticia: Índice de Actividad Económica</w:t>
      </w:r>
    </w:p>
    <w:p w:rsidR="00185AB4" w:rsidRDefault="00185AB4" w:rsidP="00185AB4">
      <w:pPr>
        <w:ind w:firstLine="708"/>
        <w:rPr>
          <w:lang w:val="es-MX"/>
        </w:rPr>
      </w:pPr>
    </w:p>
    <w:p w:rsidR="00185AB4" w:rsidRPr="00185AB4" w:rsidRDefault="00185AB4" w:rsidP="00185AB4">
      <w:pPr>
        <w:ind w:firstLine="708"/>
        <w:rPr>
          <w:lang w:val="es-MX"/>
        </w:rPr>
      </w:pPr>
      <w:r>
        <w:rPr>
          <w:lang w:val="es-MX"/>
        </w:rPr>
        <w:t xml:space="preserve"> </w:t>
      </w:r>
      <w:r w:rsidRPr="00185AB4">
        <w:rPr>
          <w:lang w:val="es-MX"/>
        </w:rPr>
        <w:t>Noviembre 2018</w:t>
      </w:r>
    </w:p>
    <w:p w:rsidR="00185AB4" w:rsidRPr="00165D4C" w:rsidRDefault="00185AB4" w:rsidP="00185AB4">
      <w:pPr>
        <w:ind w:firstLine="708"/>
        <w:rPr>
          <w:b/>
          <w:lang w:val="es-MX"/>
        </w:rPr>
      </w:pPr>
      <w:r w:rsidRPr="00165D4C">
        <w:rPr>
          <w:b/>
          <w:lang w:val="es-MX"/>
        </w:rPr>
        <w:t>Guatemala</w:t>
      </w:r>
    </w:p>
    <w:p w:rsidR="00185AB4" w:rsidRPr="00185AB4" w:rsidRDefault="00185AB4" w:rsidP="00185AB4">
      <w:pPr>
        <w:ind w:firstLine="708"/>
        <w:rPr>
          <w:lang w:val="es-MX"/>
        </w:rPr>
      </w:pPr>
    </w:p>
    <w:p w:rsidR="00185AB4" w:rsidRPr="00185AB4" w:rsidRDefault="00185AB4" w:rsidP="00185AB4">
      <w:pPr>
        <w:ind w:firstLine="708"/>
        <w:rPr>
          <w:lang w:val="es-MX"/>
        </w:rPr>
      </w:pPr>
      <w:r w:rsidRPr="00185AB4">
        <w:rPr>
          <w:lang w:val="es-MX"/>
        </w:rPr>
        <w:t>En Guatemala, el Índice Mensual de Actividad Económica (IMAE) en serie original, mostró una tasa de crecimiento interanual de 3.4%  en noviembre de 2018 (2.4% en noviembre de 2017). El comportamiento descrito, estuvo influenciado por el crecimiento que mostraron las siguientes actividades económicas: Comercio al por mayor y al por menor; Transporte, almacenamiento y comunicaciones; Servicios privados; Intermediación financiera, seguros y actividades auxiliares; e Industrias Manufactureras. Por su parte, en tendencia-ciclo el indicador registró una tasa de crecimiento interanual de 3.3%, más dinámica a la observada el año previo (2.6% en noviembre de 2017).</w:t>
      </w:r>
    </w:p>
    <w:p w:rsidR="00185AB4" w:rsidRPr="00185AB4" w:rsidRDefault="00185AB4" w:rsidP="00185AB4">
      <w:pPr>
        <w:ind w:firstLine="708"/>
        <w:rPr>
          <w:lang w:val="es-MX"/>
        </w:rPr>
      </w:pPr>
    </w:p>
    <w:p w:rsidR="00185AB4" w:rsidRPr="00185AB4" w:rsidRDefault="00185AB4" w:rsidP="00185AB4">
      <w:pPr>
        <w:ind w:firstLine="708"/>
        <w:rPr>
          <w:lang w:val="es-MX"/>
        </w:rPr>
      </w:pPr>
      <w:r w:rsidRPr="00185AB4">
        <w:rPr>
          <w:lang w:val="es-MX"/>
        </w:rPr>
        <w:t xml:space="preserve"> </w:t>
      </w:r>
    </w:p>
    <w:p w:rsidR="00185AB4" w:rsidRDefault="00185AB4" w:rsidP="00185AB4">
      <w:pPr>
        <w:ind w:firstLine="708"/>
        <w:rPr>
          <w:lang w:val="es-MX"/>
        </w:rPr>
      </w:pPr>
      <w:r w:rsidRPr="00185AB4">
        <w:rPr>
          <w:lang w:val="es-MX"/>
        </w:rPr>
        <w:lastRenderedPageBreak/>
        <w:t>http://www.banguat.gob.gt/Publica/IMAE/informe_noviembre_2018.pdf</w:t>
      </w:r>
      <w:r w:rsidRPr="00185AB4">
        <w:rPr>
          <w:lang w:val="es-MX"/>
        </w:rPr>
        <w:cr/>
      </w:r>
      <w:r>
        <w:rPr>
          <w:noProof/>
          <w:lang w:val="es-MX"/>
        </w:rPr>
        <w:drawing>
          <wp:inline distT="0" distB="0" distL="0" distR="0">
            <wp:extent cx="5296639" cy="4067743"/>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15.PNG"/>
                    <pic:cNvPicPr/>
                  </pic:nvPicPr>
                  <pic:blipFill>
                    <a:blip r:embed="rId29">
                      <a:extLst>
                        <a:ext uri="{28A0092B-C50C-407E-A947-70E740481C1C}">
                          <a14:useLocalDpi xmlns:a14="http://schemas.microsoft.com/office/drawing/2010/main" val="0"/>
                        </a:ext>
                      </a:extLst>
                    </a:blip>
                    <a:stretch>
                      <a:fillRect/>
                    </a:stretch>
                  </pic:blipFill>
                  <pic:spPr>
                    <a:xfrm>
                      <a:off x="0" y="0"/>
                      <a:ext cx="5296639" cy="4067743"/>
                    </a:xfrm>
                    <a:prstGeom prst="rect">
                      <a:avLst/>
                    </a:prstGeom>
                  </pic:spPr>
                </pic:pic>
              </a:graphicData>
            </a:graphic>
          </wp:inline>
        </w:drawing>
      </w:r>
    </w:p>
    <w:p w:rsidR="00185AB4" w:rsidRPr="00165D4C" w:rsidRDefault="00185AB4" w:rsidP="00165D4C">
      <w:pPr>
        <w:rPr>
          <w:b/>
          <w:lang w:val="es-MX"/>
        </w:rPr>
      </w:pPr>
      <w:r w:rsidRPr="00165D4C">
        <w:rPr>
          <w:b/>
          <w:lang w:val="es-MX"/>
        </w:rPr>
        <w:t xml:space="preserve"> Informe Mensual de Políticas Económicas, diciembre 2018</w:t>
      </w:r>
    </w:p>
    <w:p w:rsidR="00185AB4" w:rsidRPr="00185AB4" w:rsidRDefault="00185AB4" w:rsidP="00185AB4">
      <w:pPr>
        <w:ind w:firstLine="708"/>
        <w:rPr>
          <w:lang w:val="es-MX"/>
        </w:rPr>
      </w:pPr>
    </w:p>
    <w:p w:rsidR="00185AB4" w:rsidRPr="00185AB4" w:rsidRDefault="00185AB4" w:rsidP="00185AB4">
      <w:pPr>
        <w:ind w:firstLine="708"/>
        <w:rPr>
          <w:lang w:val="es-MX"/>
        </w:rPr>
      </w:pPr>
      <w:r w:rsidRPr="00185AB4">
        <w:rPr>
          <w:lang w:val="es-MX"/>
        </w:rPr>
        <w:t>El informe mensual de las principales políticas y hechos económicos relevantes de los países de Centroamérica y República Dominicana de diciembre de 2018 destaca:</w:t>
      </w:r>
    </w:p>
    <w:p w:rsidR="00185AB4" w:rsidRPr="00185AB4" w:rsidRDefault="00185AB4" w:rsidP="00185AB4">
      <w:pPr>
        <w:ind w:firstLine="708"/>
        <w:rPr>
          <w:lang w:val="es-MX"/>
        </w:rPr>
      </w:pPr>
    </w:p>
    <w:p w:rsidR="00185AB4" w:rsidRPr="00185AB4" w:rsidRDefault="00185AB4" w:rsidP="00185AB4">
      <w:pPr>
        <w:ind w:firstLine="708"/>
        <w:rPr>
          <w:lang w:val="es-MX"/>
        </w:rPr>
      </w:pPr>
      <w:r w:rsidRPr="00185AB4">
        <w:rPr>
          <w:lang w:val="es-MX"/>
        </w:rPr>
        <w:t>•</w:t>
      </w:r>
      <w:r w:rsidRPr="00185AB4">
        <w:rPr>
          <w:lang w:val="es-MX"/>
        </w:rPr>
        <w:tab/>
        <w:t>El nivel de la TPM a diciembre de 2018 se ubicó en 5.25% en Costa Rica; 2.75% en Guatemala y 5.50% para Honduras y La República Dominicana.</w:t>
      </w:r>
    </w:p>
    <w:p w:rsidR="00185AB4" w:rsidRPr="00185AB4" w:rsidRDefault="00185AB4" w:rsidP="00185AB4">
      <w:pPr>
        <w:ind w:firstLine="708"/>
        <w:rPr>
          <w:lang w:val="es-MX"/>
        </w:rPr>
      </w:pPr>
    </w:p>
    <w:p w:rsidR="00185AB4" w:rsidRPr="00185AB4" w:rsidRDefault="00185AB4" w:rsidP="00185AB4">
      <w:pPr>
        <w:ind w:firstLine="708"/>
        <w:rPr>
          <w:lang w:val="es-MX"/>
        </w:rPr>
      </w:pPr>
      <w:r w:rsidRPr="00185AB4">
        <w:rPr>
          <w:lang w:val="es-MX"/>
        </w:rPr>
        <w:t>•</w:t>
      </w:r>
      <w:r w:rsidRPr="00185AB4">
        <w:rPr>
          <w:lang w:val="es-MX"/>
        </w:rPr>
        <w:tab/>
        <w:t xml:space="preserve">Durante diciembre de 2018, el Banco Central de Costa Rica intervino en el mercado cambiario comprando divisas por US$977.0 millones y vendiendo divisas por US$111.7 millones; por su parte, el Banco de Guatemala intervino comprando divisas por US$50.0 millones y vendiendo US$30.0 millones. </w:t>
      </w:r>
    </w:p>
    <w:p w:rsidR="00185AB4" w:rsidRPr="00185AB4" w:rsidRDefault="00185AB4" w:rsidP="00185AB4">
      <w:pPr>
        <w:ind w:firstLine="708"/>
        <w:rPr>
          <w:lang w:val="es-MX"/>
        </w:rPr>
      </w:pPr>
    </w:p>
    <w:p w:rsidR="00185AB4" w:rsidRPr="00185AB4" w:rsidRDefault="00185AB4" w:rsidP="00185AB4">
      <w:pPr>
        <w:ind w:firstLine="708"/>
        <w:rPr>
          <w:lang w:val="es-MX"/>
        </w:rPr>
      </w:pPr>
      <w:r w:rsidRPr="00185AB4">
        <w:rPr>
          <w:lang w:val="es-MX"/>
        </w:rPr>
        <w:t>Para mayor información sobre éstas y otras decisiones de política económica en la región, vea el enlace http://www.secmca.org/Informes.html#politica_men.</w:t>
      </w:r>
    </w:p>
    <w:p w:rsidR="00185AB4" w:rsidRP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lang w:val="es-MX"/>
        </w:rPr>
      </w:pPr>
    </w:p>
    <w:p w:rsidR="00185AB4" w:rsidRDefault="00185AB4"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Default="00165D4C" w:rsidP="00185AB4">
      <w:pPr>
        <w:ind w:firstLine="708"/>
        <w:rPr>
          <w:b/>
          <w:lang w:val="es-MX"/>
        </w:rPr>
      </w:pPr>
    </w:p>
    <w:p w:rsidR="00165D4C" w:rsidRPr="001B51E1" w:rsidRDefault="00165D4C" w:rsidP="00185AB4">
      <w:pPr>
        <w:ind w:firstLine="708"/>
        <w:rPr>
          <w:b/>
          <w:lang w:val="es-MX"/>
        </w:rPr>
      </w:pPr>
    </w:p>
    <w:p w:rsidR="00185AB4" w:rsidRPr="001B51E1" w:rsidRDefault="00686288" w:rsidP="00185AB4">
      <w:pPr>
        <w:ind w:firstLine="708"/>
        <w:rPr>
          <w:b/>
          <w:lang w:val="es-MX"/>
        </w:rPr>
      </w:pPr>
      <w:r w:rsidRPr="001B51E1">
        <w:rPr>
          <w:b/>
          <w:lang w:val="es-MX"/>
        </w:rPr>
        <w:lastRenderedPageBreak/>
        <w:t xml:space="preserve">Noticia: Índice Mensual de Actividad Económica </w:t>
      </w:r>
    </w:p>
    <w:p w:rsidR="00686288" w:rsidRDefault="00686288" w:rsidP="00185AB4">
      <w:pPr>
        <w:ind w:firstLine="708"/>
        <w:rPr>
          <w:lang w:val="es-MX"/>
        </w:rPr>
      </w:pPr>
    </w:p>
    <w:p w:rsidR="00686288" w:rsidRPr="00686288" w:rsidRDefault="00686288" w:rsidP="00686288">
      <w:pPr>
        <w:ind w:firstLine="708"/>
        <w:rPr>
          <w:lang w:val="es-MX"/>
        </w:rPr>
      </w:pPr>
      <w:r w:rsidRPr="00686288">
        <w:rPr>
          <w:lang w:val="es-MX"/>
        </w:rPr>
        <w:t>Noviembre 2018</w:t>
      </w:r>
    </w:p>
    <w:p w:rsidR="00686288" w:rsidRPr="001B51E1" w:rsidRDefault="00686288" w:rsidP="00686288">
      <w:pPr>
        <w:ind w:firstLine="708"/>
        <w:rPr>
          <w:b/>
          <w:lang w:val="es-MX"/>
        </w:rPr>
      </w:pPr>
      <w:r w:rsidRPr="001B51E1">
        <w:rPr>
          <w:b/>
          <w:lang w:val="es-MX"/>
        </w:rPr>
        <w:t>Honduras</w:t>
      </w:r>
    </w:p>
    <w:p w:rsidR="00686288" w:rsidRPr="00686288" w:rsidRDefault="00686288" w:rsidP="00686288">
      <w:pPr>
        <w:ind w:firstLine="708"/>
        <w:rPr>
          <w:lang w:val="es-MX"/>
        </w:rPr>
      </w:pPr>
    </w:p>
    <w:p w:rsidR="00686288" w:rsidRPr="00686288" w:rsidRDefault="00686288" w:rsidP="00686288">
      <w:pPr>
        <w:ind w:firstLine="708"/>
        <w:rPr>
          <w:lang w:val="es-MX"/>
        </w:rPr>
      </w:pPr>
      <w:r w:rsidRPr="00686288">
        <w:rPr>
          <w:lang w:val="es-MX"/>
        </w:rPr>
        <w:t>En Honduras, el Índice Mensual de Actividad Económica (IMAE en serie original) correspondiente a noviembre de 2018, alcanzó un crecimiento acumulado de 3.7% (5.2% en noviembre 2017). Las actividades económicas que tuvieron una mayor contribución fueron: Intermediación financiera, seguros y fondos de pensiones; Industria manufacturera; Comercio; Correo y telecomunicaciones; entre otras. Asimismo, la variación interanual del IMAE en tendencia ciclo para noviembre de 2018 fue de 3.8% (4.5% en noviembre 2017).</w:t>
      </w:r>
    </w:p>
    <w:p w:rsidR="00686288" w:rsidRPr="00686288" w:rsidRDefault="00686288" w:rsidP="00686288">
      <w:pPr>
        <w:ind w:firstLine="708"/>
        <w:rPr>
          <w:lang w:val="es-MX"/>
        </w:rPr>
      </w:pPr>
    </w:p>
    <w:p w:rsidR="00686288" w:rsidRPr="00686288" w:rsidRDefault="00686288" w:rsidP="00686288">
      <w:pPr>
        <w:ind w:firstLine="708"/>
        <w:rPr>
          <w:lang w:val="es-MX"/>
        </w:rPr>
      </w:pPr>
      <w:r w:rsidRPr="00686288">
        <w:rPr>
          <w:lang w:val="es-MX"/>
        </w:rPr>
        <w:t>Publicación:</w:t>
      </w:r>
    </w:p>
    <w:p w:rsidR="00185AB4" w:rsidRDefault="00686288" w:rsidP="00686288">
      <w:pPr>
        <w:ind w:firstLine="708"/>
        <w:rPr>
          <w:lang w:val="es-MX"/>
        </w:rPr>
      </w:pPr>
      <w:r w:rsidRPr="00686288">
        <w:rPr>
          <w:lang w:val="es-MX"/>
        </w:rPr>
        <w:t>http://www.bch.hn/download/imae/2018/imae_noviembre2018.pdf</w:t>
      </w:r>
      <w:r w:rsidRPr="00686288">
        <w:rPr>
          <w:lang w:val="es-MX"/>
        </w:rPr>
        <w:cr/>
      </w:r>
      <w:r>
        <w:rPr>
          <w:noProof/>
          <w:lang w:val="es-MX"/>
        </w:rPr>
        <w:drawing>
          <wp:inline distT="0" distB="0" distL="0" distR="0">
            <wp:extent cx="5867400" cy="35433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16.PNG"/>
                    <pic:cNvPicPr/>
                  </pic:nvPicPr>
                  <pic:blipFill>
                    <a:blip r:embed="rId30">
                      <a:extLst>
                        <a:ext uri="{28A0092B-C50C-407E-A947-70E740481C1C}">
                          <a14:useLocalDpi xmlns:a14="http://schemas.microsoft.com/office/drawing/2010/main" val="0"/>
                        </a:ext>
                      </a:extLst>
                    </a:blip>
                    <a:stretch>
                      <a:fillRect/>
                    </a:stretch>
                  </pic:blipFill>
                  <pic:spPr>
                    <a:xfrm>
                      <a:off x="0" y="0"/>
                      <a:ext cx="5868223" cy="3543797"/>
                    </a:xfrm>
                    <a:prstGeom prst="rect">
                      <a:avLst/>
                    </a:prstGeom>
                  </pic:spPr>
                </pic:pic>
              </a:graphicData>
            </a:graphic>
          </wp:inline>
        </w:drawing>
      </w:r>
    </w:p>
    <w:p w:rsidR="00686288" w:rsidRDefault="00686288" w:rsidP="00686288">
      <w:pPr>
        <w:ind w:firstLine="708"/>
        <w:rPr>
          <w:lang w:val="es-MX"/>
        </w:rPr>
      </w:pPr>
    </w:p>
    <w:p w:rsidR="00686288" w:rsidRDefault="00686288" w:rsidP="00686288">
      <w:pPr>
        <w:ind w:firstLine="708"/>
        <w:rPr>
          <w:lang w:val="es-MX"/>
        </w:rPr>
      </w:pPr>
    </w:p>
    <w:p w:rsidR="00686288" w:rsidRDefault="00686288" w:rsidP="00686288">
      <w:pPr>
        <w:ind w:firstLine="708"/>
        <w:rPr>
          <w:lang w:val="es-MX"/>
        </w:rPr>
      </w:pPr>
    </w:p>
    <w:p w:rsidR="00686288" w:rsidRDefault="00686288" w:rsidP="00686288">
      <w:pPr>
        <w:ind w:firstLine="708"/>
        <w:rPr>
          <w:lang w:val="es-MX"/>
        </w:rPr>
      </w:pPr>
    </w:p>
    <w:p w:rsidR="00686288" w:rsidRPr="009F59BA" w:rsidRDefault="00617FF7" w:rsidP="009F59BA">
      <w:pPr>
        <w:ind w:firstLine="708"/>
        <w:jc w:val="both"/>
        <w:rPr>
          <w:rFonts w:ascii="Futura Lt BT" w:hAnsi="Futura Lt BT"/>
          <w:sz w:val="24"/>
          <w:szCs w:val="24"/>
          <w:lang w:val="es-MX"/>
        </w:rPr>
      </w:pPr>
      <w:bookmarkStart w:id="1" w:name="_Hlk536441204"/>
      <w:r w:rsidRPr="009F59BA">
        <w:rPr>
          <w:rFonts w:ascii="Futura Lt BT" w:hAnsi="Futura Lt BT"/>
          <w:sz w:val="24"/>
          <w:szCs w:val="24"/>
          <w:lang w:val="es-MX"/>
        </w:rPr>
        <w:lastRenderedPageBreak/>
        <w:t xml:space="preserve">Noticia: </w:t>
      </w:r>
      <w:r w:rsidR="000B0A2E" w:rsidRPr="009F59BA">
        <w:rPr>
          <w:rFonts w:ascii="Futura Lt BT" w:hAnsi="Futura Lt BT"/>
          <w:sz w:val="24"/>
          <w:szCs w:val="24"/>
          <w:lang w:val="es-MX"/>
        </w:rPr>
        <w:t>Índice</w:t>
      </w:r>
      <w:r w:rsidRPr="009F59BA">
        <w:rPr>
          <w:rFonts w:ascii="Futura Lt BT" w:hAnsi="Futura Lt BT"/>
          <w:sz w:val="24"/>
          <w:szCs w:val="24"/>
          <w:lang w:val="es-MX"/>
        </w:rPr>
        <w:t xml:space="preserve"> Mensual de Actividad </w:t>
      </w:r>
      <w:r w:rsidR="000B0A2E" w:rsidRPr="009F59BA">
        <w:rPr>
          <w:rFonts w:ascii="Futura Lt BT" w:hAnsi="Futura Lt BT"/>
          <w:sz w:val="24"/>
          <w:szCs w:val="24"/>
          <w:lang w:val="es-MX"/>
        </w:rPr>
        <w:t>Económica</w:t>
      </w:r>
      <w:r w:rsidRPr="009F59BA">
        <w:rPr>
          <w:rFonts w:ascii="Futura Lt BT" w:hAnsi="Futura Lt BT"/>
          <w:sz w:val="24"/>
          <w:szCs w:val="24"/>
          <w:lang w:val="es-MX"/>
        </w:rPr>
        <w:t xml:space="preserve"> </w:t>
      </w:r>
    </w:p>
    <w:bookmarkEnd w:id="1"/>
    <w:p w:rsidR="00E534D5" w:rsidRPr="009F59BA" w:rsidRDefault="009F59BA" w:rsidP="009F59BA">
      <w:pPr>
        <w:ind w:firstLine="708"/>
        <w:jc w:val="both"/>
        <w:rPr>
          <w:rFonts w:ascii="Futura Lt BT" w:hAnsi="Futura Lt BT"/>
          <w:sz w:val="24"/>
          <w:szCs w:val="24"/>
          <w:lang w:val="es-MX"/>
        </w:rPr>
      </w:pPr>
      <w:r w:rsidRPr="009F59BA">
        <w:rPr>
          <w:rFonts w:ascii="Futura Lt BT" w:hAnsi="Futura Lt BT"/>
          <w:sz w:val="24"/>
          <w:szCs w:val="24"/>
          <w:lang w:val="es-MX"/>
        </w:rPr>
        <w:t>Noviembre 2018</w:t>
      </w:r>
    </w:p>
    <w:p w:rsidR="009F59BA" w:rsidRPr="009F59BA" w:rsidRDefault="009F59BA" w:rsidP="009F59BA">
      <w:pPr>
        <w:ind w:firstLine="708"/>
        <w:jc w:val="both"/>
        <w:rPr>
          <w:rFonts w:ascii="Futura Lt BT" w:hAnsi="Futura Lt BT"/>
          <w:sz w:val="24"/>
          <w:szCs w:val="24"/>
          <w:lang w:val="es-MX"/>
        </w:rPr>
      </w:pPr>
      <w:r w:rsidRPr="009F59BA">
        <w:rPr>
          <w:rFonts w:ascii="Futura Lt BT" w:hAnsi="Futura Lt BT"/>
          <w:sz w:val="24"/>
          <w:szCs w:val="24"/>
          <w:lang w:val="es-MX"/>
        </w:rPr>
        <w:t>Panamá</w:t>
      </w:r>
    </w:p>
    <w:p w:rsidR="009F59BA" w:rsidRPr="009F59BA" w:rsidRDefault="009F59BA" w:rsidP="009F59BA">
      <w:pPr>
        <w:ind w:firstLine="708"/>
        <w:jc w:val="both"/>
        <w:rPr>
          <w:rFonts w:ascii="Futura Lt BT" w:hAnsi="Futura Lt BT"/>
          <w:sz w:val="24"/>
          <w:szCs w:val="24"/>
          <w:lang w:val="es-MX"/>
        </w:rPr>
      </w:pPr>
      <w:r w:rsidRPr="009F59BA">
        <w:rPr>
          <w:rFonts w:ascii="Futura Lt BT" w:hAnsi="Futura Lt BT"/>
          <w:sz w:val="24"/>
          <w:szCs w:val="24"/>
          <w:lang w:val="es-MX"/>
        </w:rPr>
        <w:t>En Panamá, el Índice de Actividad Económica (IMAE en serie original) registró una variación acumulada enero-noviembre de 3.18%.Las principales categorías de actividad económica que mostraron  un comportamiento favorable fueron: Transporte, almacenamiento y comunicaciones; Electricidad y agua; y Comercio. Adicionalmente, la variación interanual de la serie original a noviembre fue de 3.49% (4.19% en noviembre 2017).</w:t>
      </w:r>
    </w:p>
    <w:p w:rsidR="00E534D5" w:rsidRDefault="00EE2A0D" w:rsidP="00686288">
      <w:pPr>
        <w:ind w:firstLine="708"/>
        <w:rPr>
          <w:b/>
          <w:lang w:val="es-MX"/>
        </w:rPr>
      </w:pPr>
      <w:r>
        <w:rPr>
          <w:b/>
          <w:noProof/>
          <w:lang w:val="es-MX"/>
        </w:rPr>
        <w:drawing>
          <wp:inline distT="0" distB="0" distL="0" distR="0">
            <wp:extent cx="5296639" cy="1533739"/>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xto Panamá.PNG"/>
                    <pic:cNvPicPr/>
                  </pic:nvPicPr>
                  <pic:blipFill>
                    <a:blip r:embed="rId31">
                      <a:extLst>
                        <a:ext uri="{28A0092B-C50C-407E-A947-70E740481C1C}">
                          <a14:useLocalDpi xmlns:a14="http://schemas.microsoft.com/office/drawing/2010/main" val="0"/>
                        </a:ext>
                      </a:extLst>
                    </a:blip>
                    <a:stretch>
                      <a:fillRect/>
                    </a:stretch>
                  </pic:blipFill>
                  <pic:spPr>
                    <a:xfrm>
                      <a:off x="0" y="0"/>
                      <a:ext cx="5296639" cy="1533739"/>
                    </a:xfrm>
                    <a:prstGeom prst="rect">
                      <a:avLst/>
                    </a:prstGeom>
                  </pic:spPr>
                </pic:pic>
              </a:graphicData>
            </a:graphic>
          </wp:inline>
        </w:drawing>
      </w:r>
    </w:p>
    <w:p w:rsidR="00E534D5" w:rsidRDefault="00E534D5" w:rsidP="00686288">
      <w:pPr>
        <w:ind w:firstLine="708"/>
        <w:rPr>
          <w:b/>
          <w:lang w:val="es-MX"/>
        </w:rPr>
      </w:pPr>
      <w:r>
        <w:rPr>
          <w:b/>
          <w:noProof/>
          <w:lang w:val="es-MX"/>
        </w:rPr>
        <w:drawing>
          <wp:inline distT="0" distB="0" distL="0" distR="0">
            <wp:extent cx="5296639" cy="310558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19.PNG"/>
                    <pic:cNvPicPr/>
                  </pic:nvPicPr>
                  <pic:blipFill>
                    <a:blip r:embed="rId32">
                      <a:extLst>
                        <a:ext uri="{28A0092B-C50C-407E-A947-70E740481C1C}">
                          <a14:useLocalDpi xmlns:a14="http://schemas.microsoft.com/office/drawing/2010/main" val="0"/>
                        </a:ext>
                      </a:extLst>
                    </a:blip>
                    <a:stretch>
                      <a:fillRect/>
                    </a:stretch>
                  </pic:blipFill>
                  <pic:spPr>
                    <a:xfrm>
                      <a:off x="0" y="0"/>
                      <a:ext cx="5296639" cy="3105583"/>
                    </a:xfrm>
                    <a:prstGeom prst="rect">
                      <a:avLst/>
                    </a:prstGeom>
                  </pic:spPr>
                </pic:pic>
              </a:graphicData>
            </a:graphic>
          </wp:inline>
        </w:drawing>
      </w:r>
    </w:p>
    <w:p w:rsidR="00943F30" w:rsidRDefault="00943F30" w:rsidP="009F59BA">
      <w:pPr>
        <w:ind w:firstLine="708"/>
        <w:rPr>
          <w:b/>
          <w:lang w:val="es-MX"/>
        </w:rPr>
      </w:pPr>
    </w:p>
    <w:p w:rsidR="00943F30" w:rsidRDefault="00943F30" w:rsidP="009F59BA">
      <w:pPr>
        <w:ind w:firstLine="708"/>
        <w:rPr>
          <w:b/>
          <w:lang w:val="es-MX"/>
        </w:rPr>
      </w:pPr>
    </w:p>
    <w:p w:rsidR="00943F30" w:rsidRDefault="00943F30" w:rsidP="009F59BA">
      <w:pPr>
        <w:ind w:firstLine="708"/>
        <w:rPr>
          <w:b/>
          <w:lang w:val="es-MX"/>
        </w:rPr>
      </w:pPr>
    </w:p>
    <w:p w:rsidR="00943F30" w:rsidRDefault="00943F30" w:rsidP="009F59BA">
      <w:pPr>
        <w:ind w:firstLine="708"/>
        <w:rPr>
          <w:b/>
          <w:lang w:val="es-MX"/>
        </w:rPr>
      </w:pPr>
    </w:p>
    <w:p w:rsidR="00943F30" w:rsidRDefault="00943F30" w:rsidP="009F59BA">
      <w:pPr>
        <w:ind w:firstLine="708"/>
        <w:rPr>
          <w:b/>
          <w:lang w:val="es-MX"/>
        </w:rPr>
      </w:pPr>
    </w:p>
    <w:p w:rsidR="00943F30" w:rsidRDefault="00943F30" w:rsidP="009F59BA">
      <w:pPr>
        <w:ind w:firstLine="708"/>
        <w:rPr>
          <w:b/>
          <w:lang w:val="es-MX"/>
        </w:rPr>
      </w:pPr>
    </w:p>
    <w:p w:rsidR="00943F30" w:rsidRDefault="00943F30" w:rsidP="009F59BA">
      <w:pPr>
        <w:ind w:firstLine="708"/>
        <w:rPr>
          <w:b/>
          <w:lang w:val="es-MX"/>
        </w:rPr>
      </w:pPr>
    </w:p>
    <w:p w:rsidR="00943F30" w:rsidRDefault="00943F30" w:rsidP="009F59BA">
      <w:pPr>
        <w:ind w:firstLine="708"/>
        <w:rPr>
          <w:b/>
          <w:lang w:val="es-MX"/>
        </w:rPr>
      </w:pPr>
    </w:p>
    <w:p w:rsidR="00943F30" w:rsidRDefault="00943F30" w:rsidP="009F59BA">
      <w:pPr>
        <w:ind w:firstLine="708"/>
        <w:rPr>
          <w:b/>
          <w:lang w:val="es-MX"/>
        </w:rPr>
      </w:pPr>
    </w:p>
    <w:p w:rsidR="00943F30" w:rsidRDefault="00943F30" w:rsidP="009F59BA">
      <w:pPr>
        <w:ind w:firstLine="708"/>
        <w:rPr>
          <w:b/>
          <w:lang w:val="es-MX"/>
        </w:rPr>
      </w:pPr>
    </w:p>
    <w:p w:rsidR="009F59BA" w:rsidRDefault="009F59BA" w:rsidP="009F59BA">
      <w:pPr>
        <w:ind w:firstLine="708"/>
        <w:rPr>
          <w:b/>
          <w:lang w:val="es-MX"/>
        </w:rPr>
      </w:pPr>
      <w:r w:rsidRPr="001B51E1">
        <w:rPr>
          <w:b/>
          <w:lang w:val="es-MX"/>
        </w:rPr>
        <w:t xml:space="preserve">Noticia: Índice Mensual de Actividad Económica </w:t>
      </w:r>
    </w:p>
    <w:p w:rsidR="00943F30" w:rsidRPr="00EE2A0D" w:rsidRDefault="00943F30" w:rsidP="00EE2A0D">
      <w:pPr>
        <w:ind w:firstLine="708"/>
        <w:jc w:val="both"/>
        <w:rPr>
          <w:rFonts w:ascii="Futura Lt BT" w:hAnsi="Futura Lt BT"/>
          <w:sz w:val="24"/>
          <w:szCs w:val="24"/>
          <w:lang w:val="es-MX"/>
        </w:rPr>
      </w:pPr>
    </w:p>
    <w:p w:rsidR="00943F30" w:rsidRPr="00EE2A0D" w:rsidRDefault="00943F30" w:rsidP="00EE2A0D">
      <w:pPr>
        <w:ind w:firstLine="708"/>
        <w:jc w:val="both"/>
        <w:rPr>
          <w:rFonts w:ascii="Futura Lt BT" w:hAnsi="Futura Lt BT"/>
          <w:sz w:val="24"/>
          <w:szCs w:val="24"/>
          <w:lang w:val="es-MX"/>
        </w:rPr>
      </w:pPr>
      <w:r w:rsidRPr="00EE2A0D">
        <w:rPr>
          <w:rFonts w:ascii="Futura Lt BT" w:hAnsi="Futura Lt BT"/>
          <w:sz w:val="24"/>
          <w:szCs w:val="24"/>
          <w:lang w:val="es-MX"/>
        </w:rPr>
        <w:t>Octubre 2018</w:t>
      </w:r>
    </w:p>
    <w:p w:rsidR="00943F30" w:rsidRPr="00EE2A0D" w:rsidRDefault="00943F30" w:rsidP="00EE2A0D">
      <w:pPr>
        <w:ind w:firstLine="708"/>
        <w:jc w:val="both"/>
        <w:rPr>
          <w:rFonts w:ascii="Futura Lt BT" w:hAnsi="Futura Lt BT"/>
          <w:sz w:val="24"/>
          <w:szCs w:val="24"/>
          <w:lang w:val="es-MX"/>
        </w:rPr>
      </w:pPr>
      <w:r w:rsidRPr="00EE2A0D">
        <w:rPr>
          <w:rFonts w:ascii="Futura Lt BT" w:hAnsi="Futura Lt BT"/>
          <w:sz w:val="24"/>
          <w:szCs w:val="24"/>
          <w:lang w:val="es-MX"/>
        </w:rPr>
        <w:t xml:space="preserve">Nicaragua </w:t>
      </w:r>
    </w:p>
    <w:p w:rsidR="00EE2A0D" w:rsidRPr="00EE2A0D" w:rsidRDefault="00943F30" w:rsidP="00EE2A0D">
      <w:pPr>
        <w:ind w:firstLine="708"/>
        <w:jc w:val="both"/>
        <w:rPr>
          <w:rFonts w:ascii="Futura Lt BT" w:hAnsi="Futura Lt BT"/>
          <w:sz w:val="24"/>
          <w:szCs w:val="24"/>
          <w:lang w:val="es-MX"/>
        </w:rPr>
      </w:pPr>
      <w:r w:rsidRPr="00EE2A0D">
        <w:rPr>
          <w:rFonts w:ascii="Futura Lt BT" w:hAnsi="Futura Lt BT"/>
          <w:sz w:val="24"/>
          <w:szCs w:val="24"/>
          <w:lang w:val="es-MX"/>
        </w:rPr>
        <w:t xml:space="preserve">En Nicaragua, la actividad económica medida por el IMAE 8 en serie original), reflejo una tasa de variación de -6.0% en </w:t>
      </w:r>
      <w:r w:rsidR="00EE2A0D" w:rsidRPr="00EE2A0D">
        <w:rPr>
          <w:rFonts w:ascii="Futura Lt BT" w:hAnsi="Futura Lt BT"/>
          <w:sz w:val="24"/>
          <w:szCs w:val="24"/>
          <w:lang w:val="es-MX"/>
        </w:rPr>
        <w:t>octubre</w:t>
      </w:r>
      <w:r w:rsidRPr="00EE2A0D">
        <w:rPr>
          <w:rFonts w:ascii="Futura Lt BT" w:hAnsi="Futura Lt BT"/>
          <w:sz w:val="24"/>
          <w:szCs w:val="24"/>
          <w:lang w:val="es-MX"/>
        </w:rPr>
        <w:t xml:space="preserve"> de 2018 con la relación al mismo mes del año anterior (3.8% en octubre de 2017</w:t>
      </w:r>
      <w:proofErr w:type="gramStart"/>
      <w:r w:rsidRPr="00EE2A0D">
        <w:rPr>
          <w:rFonts w:ascii="Futura Lt BT" w:hAnsi="Futura Lt BT"/>
          <w:sz w:val="24"/>
          <w:szCs w:val="24"/>
          <w:lang w:val="es-MX"/>
        </w:rPr>
        <w:t>).Las</w:t>
      </w:r>
      <w:proofErr w:type="gramEnd"/>
      <w:r w:rsidRPr="00EE2A0D">
        <w:rPr>
          <w:rFonts w:ascii="Futura Lt BT" w:hAnsi="Futura Lt BT"/>
          <w:sz w:val="24"/>
          <w:szCs w:val="24"/>
          <w:lang w:val="es-MX"/>
        </w:rPr>
        <w:t xml:space="preserve"> actividades que mostraron mayor crecimiento fuero: Pesca y agricultura; </w:t>
      </w:r>
      <w:r w:rsidR="00EE2A0D" w:rsidRPr="00EE2A0D">
        <w:rPr>
          <w:rFonts w:ascii="Futura Lt BT" w:hAnsi="Futura Lt BT"/>
          <w:sz w:val="24"/>
          <w:szCs w:val="24"/>
          <w:lang w:val="es-MX"/>
        </w:rPr>
        <w:t>Explotación</w:t>
      </w:r>
      <w:r w:rsidRPr="00EE2A0D">
        <w:rPr>
          <w:rFonts w:ascii="Futura Lt BT" w:hAnsi="Futura Lt BT"/>
          <w:sz w:val="24"/>
          <w:szCs w:val="24"/>
          <w:lang w:val="es-MX"/>
        </w:rPr>
        <w:t xml:space="preserve"> de minas </w:t>
      </w:r>
      <w:r w:rsidR="00EE2A0D" w:rsidRPr="00EE2A0D">
        <w:rPr>
          <w:rFonts w:ascii="Futura Lt BT" w:hAnsi="Futura Lt BT"/>
          <w:sz w:val="24"/>
          <w:szCs w:val="24"/>
          <w:lang w:val="es-MX"/>
        </w:rPr>
        <w:t xml:space="preserve">y canteras; Energía y agua; Agricultura; entre otros. Por su parte, la tendencia -ciclo registro variación interanual de -4.2% en octubre de 2018 </w:t>
      </w:r>
      <w:proofErr w:type="gramStart"/>
      <w:r w:rsidR="00EE2A0D" w:rsidRPr="00EE2A0D">
        <w:rPr>
          <w:rFonts w:ascii="Futura Lt BT" w:hAnsi="Futura Lt BT"/>
          <w:sz w:val="24"/>
          <w:szCs w:val="24"/>
          <w:lang w:val="es-MX"/>
        </w:rPr>
        <w:t>( 4.1</w:t>
      </w:r>
      <w:proofErr w:type="gramEnd"/>
      <w:r w:rsidR="00EE2A0D" w:rsidRPr="00EE2A0D">
        <w:rPr>
          <w:rFonts w:ascii="Futura Lt BT" w:hAnsi="Futura Lt BT"/>
          <w:sz w:val="24"/>
          <w:szCs w:val="24"/>
          <w:lang w:val="es-MX"/>
        </w:rPr>
        <w:t>% en octubre 2017).</w:t>
      </w:r>
    </w:p>
    <w:p w:rsidR="00E534D5" w:rsidRDefault="00943F30" w:rsidP="00686288">
      <w:pPr>
        <w:ind w:firstLine="708"/>
        <w:rPr>
          <w:b/>
          <w:lang w:val="es-MX"/>
        </w:rPr>
      </w:pPr>
      <w:r>
        <w:rPr>
          <w:b/>
          <w:noProof/>
          <w:lang w:val="es-MX"/>
        </w:rPr>
        <w:drawing>
          <wp:inline distT="0" distB="0" distL="0" distR="0">
            <wp:extent cx="5372850" cy="1305107"/>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xto Nicaragua.PNG"/>
                    <pic:cNvPicPr/>
                  </pic:nvPicPr>
                  <pic:blipFill>
                    <a:blip r:embed="rId33">
                      <a:extLst>
                        <a:ext uri="{28A0092B-C50C-407E-A947-70E740481C1C}">
                          <a14:useLocalDpi xmlns:a14="http://schemas.microsoft.com/office/drawing/2010/main" val="0"/>
                        </a:ext>
                      </a:extLst>
                    </a:blip>
                    <a:stretch>
                      <a:fillRect/>
                    </a:stretch>
                  </pic:blipFill>
                  <pic:spPr>
                    <a:xfrm>
                      <a:off x="0" y="0"/>
                      <a:ext cx="5372850" cy="1305107"/>
                    </a:xfrm>
                    <a:prstGeom prst="rect">
                      <a:avLst/>
                    </a:prstGeom>
                  </pic:spPr>
                </pic:pic>
              </a:graphicData>
            </a:graphic>
          </wp:inline>
        </w:drawing>
      </w:r>
    </w:p>
    <w:p w:rsidR="00E534D5" w:rsidRDefault="009F59BA" w:rsidP="00686288">
      <w:pPr>
        <w:ind w:firstLine="708"/>
        <w:rPr>
          <w:b/>
          <w:lang w:val="es-MX"/>
        </w:rPr>
      </w:pPr>
      <w:r>
        <w:rPr>
          <w:b/>
          <w:noProof/>
          <w:lang w:val="es-MX"/>
        </w:rPr>
        <w:lastRenderedPageBreak/>
        <w:drawing>
          <wp:inline distT="0" distB="0" distL="0" distR="0">
            <wp:extent cx="5506218" cy="386769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20.PNG"/>
                    <pic:cNvPicPr/>
                  </pic:nvPicPr>
                  <pic:blipFill>
                    <a:blip r:embed="rId34">
                      <a:extLst>
                        <a:ext uri="{28A0092B-C50C-407E-A947-70E740481C1C}">
                          <a14:useLocalDpi xmlns:a14="http://schemas.microsoft.com/office/drawing/2010/main" val="0"/>
                        </a:ext>
                      </a:extLst>
                    </a:blip>
                    <a:stretch>
                      <a:fillRect/>
                    </a:stretch>
                  </pic:blipFill>
                  <pic:spPr>
                    <a:xfrm>
                      <a:off x="0" y="0"/>
                      <a:ext cx="5506218" cy="3867690"/>
                    </a:xfrm>
                    <a:prstGeom prst="rect">
                      <a:avLst/>
                    </a:prstGeom>
                  </pic:spPr>
                </pic:pic>
              </a:graphicData>
            </a:graphic>
          </wp:inline>
        </w:drawing>
      </w:r>
    </w:p>
    <w:p w:rsidR="00E534D5" w:rsidRPr="001B51E1" w:rsidRDefault="00E534D5" w:rsidP="00686288">
      <w:pPr>
        <w:ind w:firstLine="708"/>
        <w:rPr>
          <w:b/>
          <w:lang w:val="es-MX"/>
        </w:rPr>
      </w:pPr>
    </w:p>
    <w:p w:rsidR="000B0A2E" w:rsidRDefault="000B0A2E" w:rsidP="00686288">
      <w:pPr>
        <w:ind w:firstLine="708"/>
        <w:rPr>
          <w:lang w:val="es-MX"/>
        </w:rPr>
      </w:pPr>
    </w:p>
    <w:p w:rsidR="000B0A2E" w:rsidRPr="001B51E1" w:rsidRDefault="000B0A2E" w:rsidP="00686288">
      <w:pPr>
        <w:ind w:firstLine="708"/>
        <w:rPr>
          <w:b/>
          <w:lang w:val="es-MX"/>
        </w:rPr>
      </w:pPr>
      <w:r w:rsidRPr="001B51E1">
        <w:rPr>
          <w:b/>
          <w:lang w:val="es-MX"/>
        </w:rPr>
        <w:t xml:space="preserve">Noticia: Inflación </w:t>
      </w:r>
    </w:p>
    <w:p w:rsidR="000B0A2E" w:rsidRDefault="000B0A2E" w:rsidP="00686288">
      <w:pPr>
        <w:ind w:firstLine="708"/>
        <w:rPr>
          <w:lang w:val="es-MX"/>
        </w:rPr>
      </w:pPr>
    </w:p>
    <w:p w:rsidR="000B0A2E" w:rsidRDefault="000B0A2E" w:rsidP="000B0A2E">
      <w:pPr>
        <w:ind w:left="708"/>
        <w:jc w:val="both"/>
        <w:rPr>
          <w:rFonts w:ascii="Futura Lt BT" w:hAnsi="Futura Lt BT"/>
          <w:sz w:val="24"/>
          <w:szCs w:val="24"/>
          <w:lang w:val="es-ES"/>
        </w:rPr>
      </w:pPr>
      <w:r>
        <w:rPr>
          <w:rFonts w:ascii="Futura Lt BT" w:hAnsi="Futura Lt BT"/>
          <w:sz w:val="24"/>
          <w:szCs w:val="24"/>
          <w:lang w:val="es-ES"/>
        </w:rPr>
        <w:t xml:space="preserve">En Panamá, el IPC registró una variación mensual de -0.4% en diciembre 2018. Las principales actividades que mostraron disminuciones en el IPC durante diciembre fueron Transporte y Bebidas alcohólicas y tabaco, principalmente. Por su parte, la inflación interanual a diciembre de 2018 alcanzó 0.2% (0.5% en diciembre de 2017). </w:t>
      </w:r>
    </w:p>
    <w:p w:rsidR="000B0A2E" w:rsidRDefault="000B0A2E" w:rsidP="000B0A2E">
      <w:pPr>
        <w:ind w:left="708"/>
        <w:jc w:val="both"/>
        <w:rPr>
          <w:rFonts w:ascii="Futura Lt BT" w:hAnsi="Futura Lt BT"/>
          <w:sz w:val="24"/>
          <w:szCs w:val="24"/>
          <w:lang w:val="es-ES"/>
        </w:rPr>
      </w:pPr>
    </w:p>
    <w:p w:rsidR="000B0A2E" w:rsidRDefault="000B0A2E" w:rsidP="000B0A2E">
      <w:pPr>
        <w:ind w:left="708"/>
        <w:jc w:val="both"/>
        <w:rPr>
          <w:rFonts w:ascii="Futura Lt BT" w:hAnsi="Futura Lt BT"/>
          <w:color w:val="993366"/>
          <w:sz w:val="24"/>
          <w:szCs w:val="24"/>
          <w:lang w:val="es-ES"/>
        </w:rPr>
      </w:pPr>
      <w:r>
        <w:rPr>
          <w:rFonts w:ascii="Futura Lt BT" w:hAnsi="Futura Lt BT"/>
          <w:sz w:val="24"/>
          <w:szCs w:val="24"/>
          <w:lang w:val="es-ES"/>
        </w:rPr>
        <w:t xml:space="preserve">Publicación: </w:t>
      </w:r>
      <w:hyperlink r:id="rId35" w:history="1">
        <w:r>
          <w:rPr>
            <w:rStyle w:val="Hipervnculo"/>
            <w:rFonts w:ascii="Futura Lt BT" w:hAnsi="Futura Lt BT"/>
            <w:sz w:val="24"/>
            <w:szCs w:val="24"/>
            <w:lang w:val="es-ES"/>
          </w:rPr>
          <w:t>https://www.contraloria.gob.pa/inec/archivos/A101COMENTARIO%20IPC%20Diciembre%202018.pdf</w:t>
        </w:r>
      </w:hyperlink>
      <w:r>
        <w:rPr>
          <w:rFonts w:ascii="Futura Lt BT" w:hAnsi="Futura Lt BT"/>
          <w:sz w:val="24"/>
          <w:szCs w:val="24"/>
          <w:lang w:val="es-ES"/>
        </w:rPr>
        <w:t xml:space="preserve"> </w:t>
      </w:r>
    </w:p>
    <w:p w:rsidR="000B0A2E" w:rsidRDefault="000B0A2E" w:rsidP="000B0A2E">
      <w:pPr>
        <w:rPr>
          <w:rFonts w:ascii="Calibri" w:hAnsi="Calibri"/>
          <w:lang w:val="es-ES"/>
        </w:rPr>
      </w:pPr>
    </w:p>
    <w:tbl>
      <w:tblPr>
        <w:tblW w:w="23826" w:type="dxa"/>
        <w:tblCellMar>
          <w:left w:w="0" w:type="dxa"/>
          <w:right w:w="0" w:type="dxa"/>
        </w:tblCellMar>
        <w:tblLook w:val="04A0" w:firstRow="1" w:lastRow="0" w:firstColumn="1" w:lastColumn="0" w:noHBand="0" w:noVBand="1"/>
      </w:tblPr>
      <w:tblGrid>
        <w:gridCol w:w="560"/>
        <w:gridCol w:w="1180"/>
        <w:gridCol w:w="960"/>
        <w:gridCol w:w="960"/>
        <w:gridCol w:w="1486"/>
        <w:gridCol w:w="960"/>
        <w:gridCol w:w="960"/>
        <w:gridCol w:w="1080"/>
        <w:gridCol w:w="960"/>
        <w:gridCol w:w="960"/>
        <w:gridCol w:w="960"/>
        <w:gridCol w:w="960"/>
        <w:gridCol w:w="960"/>
        <w:gridCol w:w="960"/>
        <w:gridCol w:w="1080"/>
        <w:gridCol w:w="960"/>
        <w:gridCol w:w="960"/>
        <w:gridCol w:w="960"/>
        <w:gridCol w:w="960"/>
        <w:gridCol w:w="960"/>
        <w:gridCol w:w="960"/>
        <w:gridCol w:w="1080"/>
        <w:gridCol w:w="960"/>
        <w:gridCol w:w="1200"/>
      </w:tblGrid>
      <w:tr w:rsidR="000B0A2E" w:rsidTr="000B0A2E">
        <w:trPr>
          <w:trHeight w:val="420"/>
        </w:trPr>
        <w:tc>
          <w:tcPr>
            <w:tcW w:w="560" w:type="dxa"/>
            <w:noWrap/>
            <w:tcMar>
              <w:top w:w="0" w:type="dxa"/>
              <w:left w:w="70" w:type="dxa"/>
              <w:bottom w:w="0" w:type="dxa"/>
              <w:right w:w="70" w:type="dxa"/>
            </w:tcMar>
            <w:vAlign w:val="bottom"/>
            <w:hideMark/>
          </w:tcPr>
          <w:p w:rsidR="000B0A2E" w:rsidRDefault="000B0A2E">
            <w:pPr>
              <w:rPr>
                <w:lang w:val="es-ES"/>
              </w:rPr>
            </w:pPr>
          </w:p>
        </w:tc>
        <w:tc>
          <w:tcPr>
            <w:tcW w:w="11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tcBorders>
              <w:top w:val="single" w:sz="8" w:space="0" w:color="DDD9C4"/>
              <w:left w:val="nil"/>
              <w:bottom w:val="single" w:sz="8" w:space="0" w:color="DDD9C4"/>
              <w:right w:val="nil"/>
            </w:tcBorders>
            <w:noWrap/>
            <w:tcMar>
              <w:top w:w="0" w:type="dxa"/>
              <w:left w:w="70" w:type="dxa"/>
              <w:bottom w:w="0" w:type="dxa"/>
              <w:right w:w="70" w:type="dxa"/>
            </w:tcMar>
            <w:hideMark/>
          </w:tcPr>
          <w:p w:rsidR="000B0A2E" w:rsidRDefault="000B0A2E">
            <w:pPr>
              <w:rPr>
                <w:rFonts w:ascii="Calibri" w:hAnsi="Calibri" w:cs="Calibri"/>
                <w:b/>
                <w:bCs/>
                <w:color w:val="000000"/>
              </w:rPr>
            </w:pPr>
            <w:r>
              <w:rPr>
                <w:b/>
                <w:bCs/>
                <w:color w:val="000000"/>
              </w:rPr>
              <w:t> </w:t>
            </w:r>
          </w:p>
        </w:tc>
        <w:tc>
          <w:tcPr>
            <w:tcW w:w="960" w:type="dxa"/>
            <w:tcBorders>
              <w:top w:val="single" w:sz="8" w:space="0" w:color="DDD9C4"/>
              <w:left w:val="nil"/>
              <w:bottom w:val="single" w:sz="8" w:space="0" w:color="DDD9C4"/>
              <w:right w:val="nil"/>
            </w:tcBorders>
            <w:noWrap/>
            <w:tcMar>
              <w:top w:w="0" w:type="dxa"/>
              <w:left w:w="70" w:type="dxa"/>
              <w:bottom w:w="0" w:type="dxa"/>
              <w:right w:w="70" w:type="dxa"/>
            </w:tcMar>
            <w:hideMark/>
          </w:tcPr>
          <w:p w:rsidR="000B0A2E" w:rsidRDefault="000B0A2E">
            <w:pPr>
              <w:rPr>
                <w:b/>
                <w:bCs/>
                <w:color w:val="000000"/>
              </w:rPr>
            </w:pPr>
            <w:r>
              <w:rPr>
                <w:b/>
                <w:bCs/>
                <w:color w:val="000000"/>
              </w:rPr>
              <w:t> </w:t>
            </w:r>
          </w:p>
        </w:tc>
        <w:tc>
          <w:tcPr>
            <w:tcW w:w="1346" w:type="dxa"/>
            <w:tcBorders>
              <w:top w:val="single" w:sz="8" w:space="0" w:color="DDD9C4"/>
              <w:left w:val="nil"/>
              <w:bottom w:val="single" w:sz="8" w:space="0" w:color="DDD9C4"/>
              <w:right w:val="nil"/>
            </w:tcBorders>
            <w:noWrap/>
            <w:tcMar>
              <w:top w:w="0" w:type="dxa"/>
              <w:left w:w="70" w:type="dxa"/>
              <w:bottom w:w="0" w:type="dxa"/>
              <w:right w:w="70" w:type="dxa"/>
            </w:tcMar>
            <w:hideMark/>
          </w:tcPr>
          <w:p w:rsidR="000B0A2E" w:rsidRDefault="000B0A2E">
            <w:pPr>
              <w:jc w:val="right"/>
              <w:rPr>
                <w:rFonts w:ascii="Cambria" w:hAnsi="Cambria"/>
                <w:b/>
                <w:bCs/>
                <w:color w:val="366092"/>
                <w:sz w:val="28"/>
                <w:szCs w:val="28"/>
              </w:rPr>
            </w:pPr>
            <w:r>
              <w:rPr>
                <w:rFonts w:ascii="Cambria" w:hAnsi="Cambria"/>
                <w:b/>
                <w:bCs/>
                <w:color w:val="366092"/>
                <w:sz w:val="28"/>
                <w:szCs w:val="28"/>
              </w:rPr>
              <w:t>Diciembre</w:t>
            </w:r>
          </w:p>
        </w:tc>
        <w:tc>
          <w:tcPr>
            <w:tcW w:w="960" w:type="dxa"/>
            <w:tcBorders>
              <w:top w:val="single" w:sz="8" w:space="0" w:color="DDD9C4"/>
              <w:left w:val="nil"/>
              <w:bottom w:val="single" w:sz="8" w:space="0" w:color="DDD9C4"/>
              <w:right w:val="nil"/>
            </w:tcBorders>
            <w:noWrap/>
            <w:tcMar>
              <w:top w:w="0" w:type="dxa"/>
              <w:left w:w="70" w:type="dxa"/>
              <w:bottom w:w="0" w:type="dxa"/>
              <w:right w:w="70" w:type="dxa"/>
            </w:tcMar>
            <w:hideMark/>
          </w:tcPr>
          <w:p w:rsidR="000B0A2E" w:rsidRDefault="000B0A2E">
            <w:pPr>
              <w:rPr>
                <w:rFonts w:ascii="Cambria" w:hAnsi="Cambria"/>
                <w:b/>
                <w:bCs/>
                <w:color w:val="366092"/>
                <w:sz w:val="28"/>
                <w:szCs w:val="28"/>
              </w:rPr>
            </w:pPr>
            <w:r>
              <w:rPr>
                <w:rFonts w:ascii="Cambria" w:hAnsi="Cambria"/>
                <w:b/>
                <w:bCs/>
                <w:color w:val="366092"/>
                <w:sz w:val="28"/>
                <w:szCs w:val="28"/>
              </w:rPr>
              <w:t>2018</w:t>
            </w:r>
          </w:p>
        </w:tc>
        <w:tc>
          <w:tcPr>
            <w:tcW w:w="960" w:type="dxa"/>
            <w:tcBorders>
              <w:top w:val="single" w:sz="8" w:space="0" w:color="DDD9C4"/>
              <w:left w:val="nil"/>
              <w:bottom w:val="single" w:sz="8" w:space="0" w:color="DDD9C4"/>
              <w:right w:val="nil"/>
            </w:tcBorders>
            <w:noWrap/>
            <w:tcMar>
              <w:top w:w="0" w:type="dxa"/>
              <w:left w:w="70" w:type="dxa"/>
              <w:bottom w:w="0" w:type="dxa"/>
              <w:right w:w="70" w:type="dxa"/>
            </w:tcMar>
            <w:vAlign w:val="bottom"/>
            <w:hideMark/>
          </w:tcPr>
          <w:p w:rsidR="000B0A2E" w:rsidRDefault="000B0A2E">
            <w:pPr>
              <w:rPr>
                <w:rFonts w:ascii="Calibri" w:hAnsi="Calibri"/>
                <w:color w:val="000000"/>
              </w:rPr>
            </w:pPr>
            <w:r>
              <w:rPr>
                <w:color w:val="000000"/>
              </w:rPr>
              <w:t> </w:t>
            </w:r>
          </w:p>
        </w:tc>
        <w:tc>
          <w:tcPr>
            <w:tcW w:w="1080" w:type="dxa"/>
            <w:tcBorders>
              <w:top w:val="single" w:sz="8" w:space="0" w:color="DDD9C4"/>
              <w:left w:val="nil"/>
              <w:bottom w:val="single" w:sz="8" w:space="0" w:color="DDD9C4"/>
              <w:right w:val="nil"/>
            </w:tcBorders>
            <w:noWrap/>
            <w:tcMar>
              <w:top w:w="0" w:type="dxa"/>
              <w:left w:w="70" w:type="dxa"/>
              <w:bottom w:w="0" w:type="dxa"/>
              <w:right w:w="70" w:type="dxa"/>
            </w:tcMar>
            <w:vAlign w:val="bottom"/>
            <w:hideMark/>
          </w:tcPr>
          <w:p w:rsidR="000B0A2E" w:rsidRDefault="000B0A2E">
            <w:pPr>
              <w:rPr>
                <w:color w:val="000000"/>
              </w:rPr>
            </w:pPr>
            <w:r>
              <w:rPr>
                <w:color w:val="000000"/>
              </w:rPr>
              <w:t> </w:t>
            </w:r>
          </w:p>
        </w:tc>
        <w:tc>
          <w:tcPr>
            <w:tcW w:w="960" w:type="dxa"/>
            <w:tcBorders>
              <w:top w:val="single" w:sz="8" w:space="0" w:color="DDD9C4"/>
              <w:left w:val="nil"/>
              <w:bottom w:val="single" w:sz="8" w:space="0" w:color="DDD9C4"/>
              <w:right w:val="nil"/>
            </w:tcBorders>
            <w:noWrap/>
            <w:tcMar>
              <w:top w:w="0" w:type="dxa"/>
              <w:left w:w="70" w:type="dxa"/>
              <w:bottom w:w="0" w:type="dxa"/>
              <w:right w:w="70" w:type="dxa"/>
            </w:tcMar>
            <w:vAlign w:val="bottom"/>
            <w:hideMark/>
          </w:tcPr>
          <w:p w:rsidR="000B0A2E" w:rsidRDefault="000B0A2E">
            <w:pPr>
              <w:rPr>
                <w:color w:val="000000"/>
              </w:rPr>
            </w:pPr>
            <w:r>
              <w:rPr>
                <w:color w:val="000000"/>
              </w:rPr>
              <w:t> </w:t>
            </w:r>
          </w:p>
        </w:tc>
        <w:tc>
          <w:tcPr>
            <w:tcW w:w="960" w:type="dxa"/>
            <w:tcBorders>
              <w:top w:val="single" w:sz="8" w:space="0" w:color="DDD9C4"/>
              <w:left w:val="nil"/>
              <w:bottom w:val="single" w:sz="8" w:space="0" w:color="DDD9C4"/>
              <w:right w:val="nil"/>
            </w:tcBorders>
            <w:noWrap/>
            <w:tcMar>
              <w:top w:w="0" w:type="dxa"/>
              <w:left w:w="70" w:type="dxa"/>
              <w:bottom w:w="0" w:type="dxa"/>
              <w:right w:w="70" w:type="dxa"/>
            </w:tcMar>
            <w:vAlign w:val="bottom"/>
            <w:hideMark/>
          </w:tcPr>
          <w:p w:rsidR="000B0A2E" w:rsidRDefault="000B0A2E">
            <w:pPr>
              <w:rPr>
                <w:color w:val="000000"/>
              </w:rPr>
            </w:pPr>
            <w:r>
              <w:rPr>
                <w:color w:val="000000"/>
              </w:rPr>
              <w:t> </w:t>
            </w:r>
          </w:p>
        </w:tc>
        <w:tc>
          <w:tcPr>
            <w:tcW w:w="960" w:type="dxa"/>
            <w:tcBorders>
              <w:top w:val="single" w:sz="8" w:space="0" w:color="DDD9C4"/>
              <w:left w:val="nil"/>
              <w:bottom w:val="single" w:sz="8" w:space="0" w:color="DDD9C4"/>
              <w:right w:val="nil"/>
            </w:tcBorders>
            <w:noWrap/>
            <w:tcMar>
              <w:top w:w="0" w:type="dxa"/>
              <w:left w:w="70" w:type="dxa"/>
              <w:bottom w:w="0" w:type="dxa"/>
              <w:right w:w="70" w:type="dxa"/>
            </w:tcMar>
            <w:vAlign w:val="bottom"/>
            <w:hideMark/>
          </w:tcPr>
          <w:p w:rsidR="000B0A2E" w:rsidRDefault="000B0A2E">
            <w:pPr>
              <w:rPr>
                <w:color w:val="000000"/>
              </w:rPr>
            </w:pPr>
            <w:r>
              <w:rPr>
                <w:color w:val="000000"/>
              </w:rPr>
              <w:t> </w:t>
            </w:r>
          </w:p>
        </w:tc>
        <w:tc>
          <w:tcPr>
            <w:tcW w:w="960" w:type="dxa"/>
            <w:noWrap/>
            <w:tcMar>
              <w:top w:w="0" w:type="dxa"/>
              <w:left w:w="70" w:type="dxa"/>
              <w:bottom w:w="0" w:type="dxa"/>
              <w:right w:w="70" w:type="dxa"/>
            </w:tcMar>
            <w:vAlign w:val="bottom"/>
            <w:hideMark/>
          </w:tcPr>
          <w:p w:rsidR="000B0A2E" w:rsidRDefault="000B0A2E">
            <w:pPr>
              <w:rPr>
                <w:color w:val="00000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20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r>
      <w:tr w:rsidR="000B0A2E" w:rsidTr="000B0A2E">
        <w:trPr>
          <w:trHeight w:val="375"/>
        </w:trPr>
        <w:tc>
          <w:tcPr>
            <w:tcW w:w="5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160" w:type="dxa"/>
            <w:shd w:val="clear" w:color="auto" w:fill="C5D9F1"/>
            <w:noWrap/>
            <w:tcMar>
              <w:top w:w="0" w:type="dxa"/>
              <w:left w:w="70" w:type="dxa"/>
              <w:bottom w:w="0" w:type="dxa"/>
              <w:right w:w="70" w:type="dxa"/>
            </w:tcMar>
            <w:hideMark/>
          </w:tcPr>
          <w:p w:rsidR="000B0A2E" w:rsidRDefault="000B0A2E">
            <w:pPr>
              <w:rPr>
                <w:rFonts w:ascii="Cambria" w:hAnsi="Cambria" w:cs="Calibri"/>
                <w:b/>
                <w:bCs/>
                <w:color w:val="244062"/>
                <w:sz w:val="28"/>
                <w:szCs w:val="28"/>
              </w:rPr>
            </w:pPr>
            <w:r>
              <w:rPr>
                <w:rFonts w:ascii="Cambria" w:hAnsi="Cambria"/>
                <w:b/>
                <w:bCs/>
                <w:color w:val="244062"/>
                <w:sz w:val="28"/>
                <w:szCs w:val="28"/>
              </w:rPr>
              <w:t>Panamá</w:t>
            </w:r>
          </w:p>
        </w:tc>
        <w:tc>
          <w:tcPr>
            <w:tcW w:w="960" w:type="dxa"/>
            <w:shd w:val="clear" w:color="auto" w:fill="C5D9F1"/>
            <w:noWrap/>
            <w:tcMar>
              <w:top w:w="0" w:type="dxa"/>
              <w:left w:w="70" w:type="dxa"/>
              <w:bottom w:w="0" w:type="dxa"/>
              <w:right w:w="70" w:type="dxa"/>
            </w:tcMar>
            <w:vAlign w:val="bottom"/>
            <w:hideMark/>
          </w:tcPr>
          <w:p w:rsidR="000B0A2E" w:rsidRDefault="000B0A2E">
            <w:pPr>
              <w:rPr>
                <w:rFonts w:ascii="Calibri" w:hAnsi="Calibri"/>
                <w:color w:val="FFFFFF"/>
              </w:rPr>
            </w:pPr>
            <w:r>
              <w:rPr>
                <w:color w:val="FFFFFF"/>
              </w:rPr>
              <w:t> </w:t>
            </w:r>
          </w:p>
        </w:tc>
        <w:tc>
          <w:tcPr>
            <w:tcW w:w="960" w:type="dxa"/>
            <w:shd w:val="clear" w:color="auto" w:fill="C5D9F1"/>
            <w:noWrap/>
            <w:tcMar>
              <w:top w:w="0" w:type="dxa"/>
              <w:left w:w="70" w:type="dxa"/>
              <w:bottom w:w="0" w:type="dxa"/>
              <w:right w:w="70" w:type="dxa"/>
            </w:tcMar>
            <w:vAlign w:val="bottom"/>
            <w:hideMark/>
          </w:tcPr>
          <w:p w:rsidR="000B0A2E" w:rsidRDefault="000B0A2E">
            <w:pPr>
              <w:rPr>
                <w:color w:val="FFFFFF"/>
              </w:rPr>
            </w:pPr>
            <w:r>
              <w:rPr>
                <w:color w:val="FFFFFF"/>
              </w:rPr>
              <w:t> </w:t>
            </w:r>
          </w:p>
        </w:tc>
        <w:tc>
          <w:tcPr>
            <w:tcW w:w="1346" w:type="dxa"/>
            <w:shd w:val="clear" w:color="auto" w:fill="C5D9F1"/>
            <w:noWrap/>
            <w:tcMar>
              <w:top w:w="0" w:type="dxa"/>
              <w:left w:w="70" w:type="dxa"/>
              <w:bottom w:w="0" w:type="dxa"/>
              <w:right w:w="70" w:type="dxa"/>
            </w:tcMar>
            <w:vAlign w:val="bottom"/>
            <w:hideMark/>
          </w:tcPr>
          <w:p w:rsidR="000B0A2E" w:rsidRDefault="000B0A2E">
            <w:pPr>
              <w:rPr>
                <w:color w:val="FFFFFF"/>
              </w:rPr>
            </w:pPr>
            <w:r>
              <w:rPr>
                <w:color w:val="FFFFFF"/>
              </w:rPr>
              <w:t> </w:t>
            </w:r>
          </w:p>
        </w:tc>
        <w:tc>
          <w:tcPr>
            <w:tcW w:w="960" w:type="dxa"/>
            <w:shd w:val="clear" w:color="auto" w:fill="C5D9F1"/>
            <w:noWrap/>
            <w:tcMar>
              <w:top w:w="0" w:type="dxa"/>
              <w:left w:w="70" w:type="dxa"/>
              <w:bottom w:w="0" w:type="dxa"/>
              <w:right w:w="70" w:type="dxa"/>
            </w:tcMar>
            <w:vAlign w:val="bottom"/>
            <w:hideMark/>
          </w:tcPr>
          <w:p w:rsidR="000B0A2E" w:rsidRDefault="000B0A2E">
            <w:pPr>
              <w:rPr>
                <w:color w:val="FFFFFF"/>
              </w:rPr>
            </w:pPr>
            <w:r>
              <w:rPr>
                <w:color w:val="FFFFFF"/>
              </w:rPr>
              <w:t> </w:t>
            </w:r>
          </w:p>
        </w:tc>
        <w:tc>
          <w:tcPr>
            <w:tcW w:w="960" w:type="dxa"/>
            <w:shd w:val="clear" w:color="auto" w:fill="C5D9F1"/>
            <w:noWrap/>
            <w:tcMar>
              <w:top w:w="0" w:type="dxa"/>
              <w:left w:w="70" w:type="dxa"/>
              <w:bottom w:w="0" w:type="dxa"/>
              <w:right w:w="70" w:type="dxa"/>
            </w:tcMar>
            <w:vAlign w:val="bottom"/>
            <w:hideMark/>
          </w:tcPr>
          <w:p w:rsidR="000B0A2E" w:rsidRDefault="000B0A2E">
            <w:pPr>
              <w:rPr>
                <w:color w:val="FFFFFF"/>
              </w:rPr>
            </w:pPr>
            <w:r>
              <w:rPr>
                <w:color w:val="FFFFFF"/>
              </w:rPr>
              <w:t> </w:t>
            </w:r>
          </w:p>
        </w:tc>
        <w:tc>
          <w:tcPr>
            <w:tcW w:w="1080" w:type="dxa"/>
            <w:shd w:val="clear" w:color="auto" w:fill="C5D9F1"/>
            <w:noWrap/>
            <w:tcMar>
              <w:top w:w="0" w:type="dxa"/>
              <w:left w:w="70" w:type="dxa"/>
              <w:bottom w:w="0" w:type="dxa"/>
              <w:right w:w="70" w:type="dxa"/>
            </w:tcMar>
            <w:vAlign w:val="bottom"/>
            <w:hideMark/>
          </w:tcPr>
          <w:p w:rsidR="000B0A2E" w:rsidRDefault="000B0A2E">
            <w:pPr>
              <w:rPr>
                <w:color w:val="FFFFFF"/>
              </w:rPr>
            </w:pPr>
            <w:r>
              <w:rPr>
                <w:color w:val="FFFFFF"/>
              </w:rPr>
              <w:t> </w:t>
            </w:r>
          </w:p>
        </w:tc>
        <w:tc>
          <w:tcPr>
            <w:tcW w:w="960" w:type="dxa"/>
            <w:shd w:val="clear" w:color="auto" w:fill="C5D9F1"/>
            <w:noWrap/>
            <w:tcMar>
              <w:top w:w="0" w:type="dxa"/>
              <w:left w:w="70" w:type="dxa"/>
              <w:bottom w:w="0" w:type="dxa"/>
              <w:right w:w="70" w:type="dxa"/>
            </w:tcMar>
            <w:vAlign w:val="bottom"/>
            <w:hideMark/>
          </w:tcPr>
          <w:p w:rsidR="000B0A2E" w:rsidRDefault="000B0A2E">
            <w:pPr>
              <w:rPr>
                <w:color w:val="FFFFFF"/>
              </w:rPr>
            </w:pPr>
            <w:r>
              <w:rPr>
                <w:color w:val="FFFFFF"/>
              </w:rPr>
              <w:t> </w:t>
            </w:r>
          </w:p>
        </w:tc>
        <w:tc>
          <w:tcPr>
            <w:tcW w:w="960" w:type="dxa"/>
            <w:shd w:val="clear" w:color="auto" w:fill="C5D9F1"/>
            <w:noWrap/>
            <w:tcMar>
              <w:top w:w="0" w:type="dxa"/>
              <w:left w:w="70" w:type="dxa"/>
              <w:bottom w:w="0" w:type="dxa"/>
              <w:right w:w="70" w:type="dxa"/>
            </w:tcMar>
            <w:vAlign w:val="bottom"/>
            <w:hideMark/>
          </w:tcPr>
          <w:p w:rsidR="000B0A2E" w:rsidRDefault="000B0A2E">
            <w:pPr>
              <w:rPr>
                <w:color w:val="FFFFFF"/>
              </w:rPr>
            </w:pPr>
            <w:r>
              <w:rPr>
                <w:color w:val="FFFFFF"/>
              </w:rPr>
              <w:t> </w:t>
            </w:r>
          </w:p>
        </w:tc>
        <w:tc>
          <w:tcPr>
            <w:tcW w:w="960" w:type="dxa"/>
            <w:shd w:val="clear" w:color="auto" w:fill="C5D9F1"/>
            <w:noWrap/>
            <w:tcMar>
              <w:top w:w="0" w:type="dxa"/>
              <w:left w:w="70" w:type="dxa"/>
              <w:bottom w:w="0" w:type="dxa"/>
              <w:right w:w="70" w:type="dxa"/>
            </w:tcMar>
            <w:vAlign w:val="bottom"/>
            <w:hideMark/>
          </w:tcPr>
          <w:p w:rsidR="000B0A2E" w:rsidRDefault="000B0A2E">
            <w:pPr>
              <w:rPr>
                <w:color w:val="FFFFFF"/>
              </w:rPr>
            </w:pPr>
            <w:r>
              <w:rPr>
                <w:color w:val="FFFFFF"/>
              </w:rPr>
              <w:t> </w:t>
            </w:r>
          </w:p>
        </w:tc>
        <w:tc>
          <w:tcPr>
            <w:tcW w:w="960" w:type="dxa"/>
            <w:noWrap/>
            <w:tcMar>
              <w:top w:w="0" w:type="dxa"/>
              <w:left w:w="70" w:type="dxa"/>
              <w:bottom w:w="0" w:type="dxa"/>
              <w:right w:w="70" w:type="dxa"/>
            </w:tcMar>
            <w:vAlign w:val="bottom"/>
            <w:hideMark/>
          </w:tcPr>
          <w:p w:rsidR="000B0A2E" w:rsidRDefault="000B0A2E">
            <w:pPr>
              <w:rPr>
                <w:color w:val="FFFFFF"/>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20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r>
      <w:tr w:rsidR="000B0A2E" w:rsidTr="000B0A2E">
        <w:trPr>
          <w:trHeight w:val="300"/>
        </w:trPr>
        <w:tc>
          <w:tcPr>
            <w:tcW w:w="5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5386" w:type="dxa"/>
            <w:gridSpan w:val="5"/>
            <w:noWrap/>
            <w:tcMar>
              <w:top w:w="0" w:type="dxa"/>
              <w:left w:w="70" w:type="dxa"/>
              <w:bottom w:w="0" w:type="dxa"/>
              <w:right w:w="70" w:type="dxa"/>
            </w:tcMar>
            <w:vAlign w:val="bottom"/>
            <w:hideMark/>
          </w:tcPr>
          <w:p w:rsidR="000B0A2E" w:rsidRDefault="000B0A2E">
            <w:pPr>
              <w:rPr>
                <w:rFonts w:ascii="Cambria" w:hAnsi="Cambria" w:cs="Calibri"/>
                <w:color w:val="000000"/>
                <w:sz w:val="24"/>
                <w:szCs w:val="24"/>
              </w:rPr>
            </w:pPr>
            <w:r>
              <w:rPr>
                <w:rFonts w:ascii="Cambria" w:hAnsi="Cambria"/>
                <w:color w:val="000000"/>
                <w:sz w:val="24"/>
                <w:szCs w:val="24"/>
              </w:rPr>
              <w:t xml:space="preserve">Inflación observada al mes de </w:t>
            </w:r>
            <w:proofErr w:type="gramStart"/>
            <w:r>
              <w:rPr>
                <w:rFonts w:ascii="Cambria" w:hAnsi="Cambria"/>
                <w:color w:val="000000"/>
                <w:sz w:val="24"/>
                <w:szCs w:val="24"/>
              </w:rPr>
              <w:t>Diciembre</w:t>
            </w:r>
            <w:proofErr w:type="gramEnd"/>
            <w:r>
              <w:rPr>
                <w:rFonts w:ascii="Cambria" w:hAnsi="Cambria"/>
                <w:color w:val="000000"/>
                <w:sz w:val="24"/>
                <w:szCs w:val="24"/>
              </w:rPr>
              <w:t xml:space="preserve"> 2018:</w:t>
            </w:r>
          </w:p>
        </w:tc>
        <w:tc>
          <w:tcPr>
            <w:tcW w:w="960" w:type="dxa"/>
            <w:noWrap/>
            <w:tcMar>
              <w:top w:w="0" w:type="dxa"/>
              <w:left w:w="70" w:type="dxa"/>
              <w:bottom w:w="0" w:type="dxa"/>
              <w:right w:w="70" w:type="dxa"/>
            </w:tcMar>
            <w:vAlign w:val="bottom"/>
            <w:hideMark/>
          </w:tcPr>
          <w:p w:rsidR="000B0A2E" w:rsidRDefault="000B0A2E">
            <w:pPr>
              <w:rPr>
                <w:rFonts w:ascii="Cambria" w:hAnsi="Cambria"/>
                <w:color w:val="000000"/>
                <w:sz w:val="24"/>
                <w:szCs w:val="24"/>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20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r>
      <w:tr w:rsidR="000B0A2E" w:rsidTr="000B0A2E">
        <w:trPr>
          <w:trHeight w:val="270"/>
        </w:trPr>
        <w:tc>
          <w:tcPr>
            <w:tcW w:w="5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4426" w:type="dxa"/>
            <w:gridSpan w:val="4"/>
            <w:noWrap/>
            <w:tcMar>
              <w:top w:w="0" w:type="dxa"/>
              <w:left w:w="70" w:type="dxa"/>
              <w:bottom w:w="0" w:type="dxa"/>
              <w:right w:w="70" w:type="dxa"/>
            </w:tcMar>
            <w:vAlign w:val="center"/>
            <w:hideMark/>
          </w:tcPr>
          <w:p w:rsidR="000B0A2E" w:rsidRDefault="000B0A2E">
            <w:pPr>
              <w:rPr>
                <w:rFonts w:ascii="Cambria" w:hAnsi="Cambria" w:cs="Calibri"/>
                <w:color w:val="000000"/>
                <w:sz w:val="24"/>
                <w:szCs w:val="24"/>
              </w:rPr>
            </w:pPr>
            <w:r>
              <w:rPr>
                <w:rFonts w:ascii="Cambria" w:hAnsi="Cambria"/>
                <w:color w:val="000000"/>
                <w:sz w:val="24"/>
                <w:szCs w:val="24"/>
              </w:rPr>
              <w:t xml:space="preserve">Tasa de variación del </w:t>
            </w:r>
            <w:r>
              <w:rPr>
                <w:rFonts w:ascii="Cambria" w:hAnsi="Cambria"/>
                <w:b/>
                <w:bCs/>
                <w:color w:val="000000"/>
                <w:sz w:val="24"/>
                <w:szCs w:val="24"/>
              </w:rPr>
              <w:t>mes</w:t>
            </w:r>
            <w:r>
              <w:rPr>
                <w:rFonts w:ascii="Cambria" w:hAnsi="Cambria"/>
                <w:color w:val="000000"/>
                <w:sz w:val="24"/>
                <w:szCs w:val="24"/>
              </w:rPr>
              <w:t>:</w:t>
            </w:r>
          </w:p>
        </w:tc>
        <w:tc>
          <w:tcPr>
            <w:tcW w:w="960" w:type="dxa"/>
            <w:noWrap/>
            <w:tcMar>
              <w:top w:w="0" w:type="dxa"/>
              <w:left w:w="70" w:type="dxa"/>
              <w:bottom w:w="0" w:type="dxa"/>
              <w:right w:w="70" w:type="dxa"/>
            </w:tcMar>
            <w:hideMark/>
          </w:tcPr>
          <w:p w:rsidR="000B0A2E" w:rsidRDefault="000B0A2E">
            <w:pPr>
              <w:jc w:val="right"/>
              <w:rPr>
                <w:rFonts w:ascii="Cambria" w:hAnsi="Cambria"/>
                <w:b/>
                <w:bCs/>
                <w:color w:val="000000"/>
                <w:sz w:val="24"/>
                <w:szCs w:val="24"/>
              </w:rPr>
            </w:pPr>
            <w:r>
              <w:rPr>
                <w:rFonts w:ascii="Cambria" w:hAnsi="Cambria"/>
                <w:b/>
                <w:bCs/>
                <w:color w:val="000000"/>
                <w:sz w:val="24"/>
                <w:szCs w:val="24"/>
              </w:rPr>
              <w:t>-0.4</w:t>
            </w:r>
          </w:p>
        </w:tc>
        <w:tc>
          <w:tcPr>
            <w:tcW w:w="960" w:type="dxa"/>
            <w:noWrap/>
            <w:tcMar>
              <w:top w:w="0" w:type="dxa"/>
              <w:left w:w="70" w:type="dxa"/>
              <w:bottom w:w="0" w:type="dxa"/>
              <w:right w:w="70" w:type="dxa"/>
            </w:tcMar>
            <w:hideMark/>
          </w:tcPr>
          <w:p w:rsidR="000B0A2E" w:rsidRDefault="000B0A2E">
            <w:pPr>
              <w:rPr>
                <w:rFonts w:ascii="Cambria" w:hAnsi="Cambria"/>
                <w:b/>
                <w:bCs/>
                <w:color w:val="000000"/>
                <w:sz w:val="24"/>
                <w:szCs w:val="24"/>
              </w:rPr>
            </w:pPr>
            <w:r>
              <w:rPr>
                <w:rFonts w:ascii="Cambria" w:hAnsi="Cambria"/>
                <w:b/>
                <w:bCs/>
                <w:color w:val="000000"/>
                <w:sz w:val="24"/>
                <w:szCs w:val="24"/>
              </w:rPr>
              <w:t>%</w:t>
            </w:r>
          </w:p>
        </w:tc>
        <w:tc>
          <w:tcPr>
            <w:tcW w:w="1080" w:type="dxa"/>
            <w:noWrap/>
            <w:tcMar>
              <w:top w:w="0" w:type="dxa"/>
              <w:left w:w="70" w:type="dxa"/>
              <w:bottom w:w="0" w:type="dxa"/>
              <w:right w:w="70" w:type="dxa"/>
            </w:tcMar>
            <w:hideMark/>
          </w:tcPr>
          <w:p w:rsidR="000B0A2E" w:rsidRDefault="000B0A2E">
            <w:pPr>
              <w:rPr>
                <w:rFonts w:ascii="Cambria" w:hAnsi="Cambria"/>
                <w:b/>
                <w:bCs/>
                <w:color w:val="000000"/>
                <w:sz w:val="24"/>
                <w:szCs w:val="24"/>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20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r>
      <w:tr w:rsidR="000B0A2E" w:rsidTr="000B0A2E">
        <w:trPr>
          <w:trHeight w:val="270"/>
        </w:trPr>
        <w:tc>
          <w:tcPr>
            <w:tcW w:w="5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4426" w:type="dxa"/>
            <w:gridSpan w:val="4"/>
            <w:noWrap/>
            <w:tcMar>
              <w:top w:w="0" w:type="dxa"/>
              <w:left w:w="70" w:type="dxa"/>
              <w:bottom w:w="0" w:type="dxa"/>
              <w:right w:w="70" w:type="dxa"/>
            </w:tcMar>
            <w:vAlign w:val="center"/>
            <w:hideMark/>
          </w:tcPr>
          <w:p w:rsidR="000B0A2E" w:rsidRDefault="000B0A2E">
            <w:pPr>
              <w:rPr>
                <w:rFonts w:ascii="Cambria" w:hAnsi="Cambria" w:cs="Calibri"/>
                <w:color w:val="000000"/>
                <w:sz w:val="24"/>
                <w:szCs w:val="24"/>
              </w:rPr>
            </w:pPr>
            <w:r>
              <w:rPr>
                <w:rFonts w:ascii="Cambria" w:hAnsi="Cambria"/>
                <w:color w:val="000000"/>
                <w:sz w:val="24"/>
                <w:szCs w:val="24"/>
              </w:rPr>
              <w:t xml:space="preserve">Tasa </w:t>
            </w:r>
            <w:r>
              <w:rPr>
                <w:rFonts w:ascii="Cambria" w:hAnsi="Cambria"/>
                <w:b/>
                <w:bCs/>
                <w:color w:val="000000"/>
                <w:sz w:val="24"/>
                <w:szCs w:val="24"/>
              </w:rPr>
              <w:t>acumulada</w:t>
            </w:r>
            <w:r>
              <w:rPr>
                <w:rFonts w:ascii="Cambria" w:hAnsi="Cambria"/>
                <w:color w:val="000000"/>
                <w:sz w:val="24"/>
                <w:szCs w:val="24"/>
              </w:rPr>
              <w:t>:</w:t>
            </w:r>
          </w:p>
        </w:tc>
        <w:tc>
          <w:tcPr>
            <w:tcW w:w="960" w:type="dxa"/>
            <w:noWrap/>
            <w:tcMar>
              <w:top w:w="0" w:type="dxa"/>
              <w:left w:w="70" w:type="dxa"/>
              <w:bottom w:w="0" w:type="dxa"/>
              <w:right w:w="70" w:type="dxa"/>
            </w:tcMar>
            <w:hideMark/>
          </w:tcPr>
          <w:p w:rsidR="000B0A2E" w:rsidRDefault="000B0A2E">
            <w:pPr>
              <w:jc w:val="right"/>
              <w:rPr>
                <w:rFonts w:ascii="Cambria" w:hAnsi="Cambria"/>
                <w:b/>
                <w:bCs/>
                <w:color w:val="000000"/>
                <w:sz w:val="24"/>
                <w:szCs w:val="24"/>
              </w:rPr>
            </w:pPr>
            <w:r>
              <w:rPr>
                <w:rFonts w:ascii="Cambria" w:hAnsi="Cambria"/>
                <w:b/>
                <w:bCs/>
                <w:color w:val="000000"/>
                <w:sz w:val="24"/>
                <w:szCs w:val="24"/>
              </w:rPr>
              <w:t>0.2</w:t>
            </w:r>
          </w:p>
        </w:tc>
        <w:tc>
          <w:tcPr>
            <w:tcW w:w="960" w:type="dxa"/>
            <w:noWrap/>
            <w:tcMar>
              <w:top w:w="0" w:type="dxa"/>
              <w:left w:w="70" w:type="dxa"/>
              <w:bottom w:w="0" w:type="dxa"/>
              <w:right w:w="70" w:type="dxa"/>
            </w:tcMar>
            <w:hideMark/>
          </w:tcPr>
          <w:p w:rsidR="000B0A2E" w:rsidRDefault="000B0A2E">
            <w:pPr>
              <w:rPr>
                <w:rFonts w:ascii="Cambria" w:hAnsi="Cambria"/>
                <w:b/>
                <w:bCs/>
                <w:color w:val="000000"/>
                <w:sz w:val="24"/>
                <w:szCs w:val="24"/>
              </w:rPr>
            </w:pPr>
            <w:r>
              <w:rPr>
                <w:rFonts w:ascii="Cambria" w:hAnsi="Cambria"/>
                <w:b/>
                <w:bCs/>
                <w:color w:val="000000"/>
                <w:sz w:val="24"/>
                <w:szCs w:val="24"/>
              </w:rPr>
              <w:t>%</w:t>
            </w:r>
          </w:p>
        </w:tc>
        <w:tc>
          <w:tcPr>
            <w:tcW w:w="1080" w:type="dxa"/>
            <w:noWrap/>
            <w:tcMar>
              <w:top w:w="0" w:type="dxa"/>
              <w:left w:w="70" w:type="dxa"/>
              <w:bottom w:w="0" w:type="dxa"/>
              <w:right w:w="70" w:type="dxa"/>
            </w:tcMar>
            <w:hideMark/>
          </w:tcPr>
          <w:p w:rsidR="000B0A2E" w:rsidRDefault="000B0A2E">
            <w:pPr>
              <w:rPr>
                <w:rFonts w:ascii="Cambria" w:hAnsi="Cambria"/>
                <w:b/>
                <w:bCs/>
                <w:color w:val="000000"/>
                <w:sz w:val="24"/>
                <w:szCs w:val="24"/>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c>
          <w:tcPr>
            <w:tcW w:w="1200" w:type="dxa"/>
            <w:noWrap/>
            <w:tcMar>
              <w:top w:w="0" w:type="dxa"/>
              <w:left w:w="70" w:type="dxa"/>
              <w:bottom w:w="0" w:type="dxa"/>
              <w:right w:w="70" w:type="dxa"/>
            </w:tcMar>
            <w:vAlign w:val="bottom"/>
            <w:hideMark/>
          </w:tcPr>
          <w:p w:rsidR="000B0A2E" w:rsidRDefault="000B0A2E">
            <w:pPr>
              <w:rPr>
                <w:rFonts w:ascii="Times New Roman" w:eastAsia="Times New Roman" w:hAnsi="Times New Roman" w:cs="Times New Roman"/>
                <w:sz w:val="20"/>
                <w:szCs w:val="20"/>
              </w:rPr>
            </w:pPr>
          </w:p>
        </w:tc>
      </w:tr>
      <w:tr w:rsidR="000B0A2E" w:rsidTr="000B0A2E">
        <w:trPr>
          <w:trHeight w:val="420"/>
        </w:trPr>
        <w:tc>
          <w:tcPr>
            <w:tcW w:w="5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4426" w:type="dxa"/>
            <w:gridSpan w:val="4"/>
            <w:tcBorders>
              <w:top w:val="nil"/>
              <w:left w:val="nil"/>
              <w:bottom w:val="single" w:sz="8" w:space="0" w:color="DDD9C4"/>
              <w:right w:val="nil"/>
            </w:tcBorders>
            <w:noWrap/>
            <w:tcMar>
              <w:top w:w="0" w:type="dxa"/>
              <w:left w:w="70" w:type="dxa"/>
              <w:bottom w:w="0" w:type="dxa"/>
              <w:right w:w="70" w:type="dxa"/>
            </w:tcMar>
            <w:vAlign w:val="center"/>
            <w:hideMark/>
          </w:tcPr>
          <w:p w:rsidR="000B0A2E" w:rsidRDefault="000B0A2E">
            <w:pPr>
              <w:rPr>
                <w:rFonts w:ascii="Cambria" w:hAnsi="Cambria" w:cs="Calibri"/>
                <w:color w:val="000000"/>
                <w:sz w:val="24"/>
                <w:szCs w:val="24"/>
              </w:rPr>
            </w:pPr>
            <w:r>
              <w:rPr>
                <w:rFonts w:ascii="Cambria" w:hAnsi="Cambria"/>
                <w:color w:val="000000"/>
                <w:sz w:val="24"/>
                <w:szCs w:val="24"/>
              </w:rPr>
              <w:t xml:space="preserve">Tasa de variación </w:t>
            </w:r>
            <w:r>
              <w:rPr>
                <w:rFonts w:ascii="Cambria" w:hAnsi="Cambria"/>
                <w:b/>
                <w:bCs/>
                <w:color w:val="000000"/>
                <w:sz w:val="24"/>
                <w:szCs w:val="24"/>
              </w:rPr>
              <w:t>interanual</w:t>
            </w:r>
            <w:r>
              <w:rPr>
                <w:rFonts w:ascii="Cambria" w:hAnsi="Cambria"/>
                <w:color w:val="000000"/>
                <w:sz w:val="24"/>
                <w:szCs w:val="24"/>
              </w:rPr>
              <w:t>:</w:t>
            </w:r>
          </w:p>
        </w:tc>
        <w:tc>
          <w:tcPr>
            <w:tcW w:w="960" w:type="dxa"/>
            <w:tcBorders>
              <w:top w:val="nil"/>
              <w:left w:val="nil"/>
              <w:bottom w:val="single" w:sz="8" w:space="0" w:color="DDD9C4"/>
              <w:right w:val="nil"/>
            </w:tcBorders>
            <w:noWrap/>
            <w:tcMar>
              <w:top w:w="0" w:type="dxa"/>
              <w:left w:w="70" w:type="dxa"/>
              <w:bottom w:w="0" w:type="dxa"/>
              <w:right w:w="70" w:type="dxa"/>
            </w:tcMar>
            <w:hideMark/>
          </w:tcPr>
          <w:p w:rsidR="000B0A2E" w:rsidRDefault="000B0A2E">
            <w:pPr>
              <w:jc w:val="right"/>
              <w:rPr>
                <w:rFonts w:ascii="Cambria" w:hAnsi="Cambria"/>
                <w:b/>
                <w:bCs/>
                <w:color w:val="000000"/>
                <w:sz w:val="24"/>
                <w:szCs w:val="24"/>
              </w:rPr>
            </w:pPr>
            <w:r>
              <w:rPr>
                <w:rFonts w:ascii="Cambria" w:hAnsi="Cambria"/>
                <w:b/>
                <w:bCs/>
                <w:color w:val="000000"/>
                <w:sz w:val="24"/>
                <w:szCs w:val="24"/>
              </w:rPr>
              <w:t>0.2</w:t>
            </w:r>
          </w:p>
        </w:tc>
        <w:tc>
          <w:tcPr>
            <w:tcW w:w="960" w:type="dxa"/>
            <w:tcBorders>
              <w:top w:val="nil"/>
              <w:left w:val="nil"/>
              <w:bottom w:val="single" w:sz="8" w:space="0" w:color="DDD9C4"/>
              <w:right w:val="nil"/>
            </w:tcBorders>
            <w:noWrap/>
            <w:tcMar>
              <w:top w:w="0" w:type="dxa"/>
              <w:left w:w="70" w:type="dxa"/>
              <w:bottom w:w="0" w:type="dxa"/>
              <w:right w:w="70" w:type="dxa"/>
            </w:tcMar>
            <w:hideMark/>
          </w:tcPr>
          <w:p w:rsidR="000B0A2E" w:rsidRDefault="000B0A2E">
            <w:pPr>
              <w:rPr>
                <w:rFonts w:ascii="Cambria" w:hAnsi="Cambria"/>
                <w:b/>
                <w:bCs/>
                <w:color w:val="000000"/>
                <w:sz w:val="24"/>
                <w:szCs w:val="24"/>
              </w:rPr>
            </w:pPr>
            <w:r>
              <w:rPr>
                <w:rFonts w:ascii="Cambria" w:hAnsi="Cambria"/>
                <w:b/>
                <w:bCs/>
                <w:color w:val="000000"/>
                <w:sz w:val="24"/>
                <w:szCs w:val="24"/>
              </w:rPr>
              <w:t>%</w:t>
            </w:r>
          </w:p>
        </w:tc>
        <w:tc>
          <w:tcPr>
            <w:tcW w:w="1080" w:type="dxa"/>
            <w:tcBorders>
              <w:top w:val="nil"/>
              <w:left w:val="nil"/>
              <w:bottom w:val="single" w:sz="8" w:space="0" w:color="DDD9C4"/>
              <w:right w:val="nil"/>
            </w:tcBorders>
            <w:noWrap/>
            <w:tcMar>
              <w:top w:w="0" w:type="dxa"/>
              <w:left w:w="70" w:type="dxa"/>
              <w:bottom w:w="0" w:type="dxa"/>
              <w:right w:w="70" w:type="dxa"/>
            </w:tcMar>
            <w:hideMark/>
          </w:tcPr>
          <w:p w:rsidR="000B0A2E" w:rsidRDefault="000B0A2E">
            <w:pPr>
              <w:rPr>
                <w:rFonts w:ascii="Calibri" w:hAnsi="Calibri"/>
                <w:color w:val="000000"/>
              </w:rPr>
            </w:pPr>
            <w:r>
              <w:rPr>
                <w:color w:val="000000"/>
              </w:rPr>
              <w:t> </w:t>
            </w:r>
          </w:p>
        </w:tc>
        <w:tc>
          <w:tcPr>
            <w:tcW w:w="960" w:type="dxa"/>
            <w:tcBorders>
              <w:top w:val="nil"/>
              <w:left w:val="nil"/>
              <w:bottom w:val="single" w:sz="8" w:space="0" w:color="DDD9C4"/>
              <w:right w:val="nil"/>
            </w:tcBorders>
            <w:noWrap/>
            <w:tcMar>
              <w:top w:w="0" w:type="dxa"/>
              <w:left w:w="70" w:type="dxa"/>
              <w:bottom w:w="0" w:type="dxa"/>
              <w:right w:w="70" w:type="dxa"/>
            </w:tcMar>
            <w:hideMark/>
          </w:tcPr>
          <w:p w:rsidR="000B0A2E" w:rsidRDefault="000B0A2E">
            <w:pPr>
              <w:rPr>
                <w:color w:val="000000"/>
              </w:rPr>
            </w:pPr>
            <w:r>
              <w:rPr>
                <w:color w:val="000000"/>
              </w:rPr>
              <w:t> </w:t>
            </w:r>
          </w:p>
        </w:tc>
        <w:tc>
          <w:tcPr>
            <w:tcW w:w="960" w:type="dxa"/>
            <w:tcBorders>
              <w:top w:val="nil"/>
              <w:left w:val="nil"/>
              <w:bottom w:val="single" w:sz="8" w:space="0" w:color="DDD9C4"/>
              <w:right w:val="nil"/>
            </w:tcBorders>
            <w:noWrap/>
            <w:tcMar>
              <w:top w:w="0" w:type="dxa"/>
              <w:left w:w="70" w:type="dxa"/>
              <w:bottom w:w="0" w:type="dxa"/>
              <w:right w:w="70" w:type="dxa"/>
            </w:tcMar>
            <w:hideMark/>
          </w:tcPr>
          <w:p w:rsidR="000B0A2E" w:rsidRDefault="000B0A2E">
            <w:pPr>
              <w:rPr>
                <w:color w:val="000000"/>
              </w:rPr>
            </w:pPr>
            <w:r>
              <w:rPr>
                <w:color w:val="000000"/>
              </w:rPr>
              <w:t> </w:t>
            </w:r>
          </w:p>
        </w:tc>
        <w:tc>
          <w:tcPr>
            <w:tcW w:w="960" w:type="dxa"/>
            <w:tcBorders>
              <w:top w:val="nil"/>
              <w:left w:val="nil"/>
              <w:bottom w:val="single" w:sz="8" w:space="0" w:color="DDD9C4"/>
              <w:right w:val="nil"/>
            </w:tcBorders>
            <w:noWrap/>
            <w:tcMar>
              <w:top w:w="0" w:type="dxa"/>
              <w:left w:w="70" w:type="dxa"/>
              <w:bottom w:w="0" w:type="dxa"/>
              <w:right w:w="70" w:type="dxa"/>
            </w:tcMar>
            <w:hideMark/>
          </w:tcPr>
          <w:p w:rsidR="000B0A2E" w:rsidRDefault="000B0A2E">
            <w:pPr>
              <w:rPr>
                <w:color w:val="000000"/>
              </w:rPr>
            </w:pPr>
            <w:r>
              <w:rPr>
                <w:color w:val="000000"/>
              </w:rPr>
              <w:t> </w:t>
            </w:r>
          </w:p>
        </w:tc>
        <w:tc>
          <w:tcPr>
            <w:tcW w:w="960" w:type="dxa"/>
            <w:noWrap/>
            <w:tcMar>
              <w:top w:w="0" w:type="dxa"/>
              <w:left w:w="70" w:type="dxa"/>
              <w:bottom w:w="0" w:type="dxa"/>
              <w:right w:w="70" w:type="dxa"/>
            </w:tcMar>
            <w:hideMark/>
          </w:tcPr>
          <w:p w:rsidR="000B0A2E" w:rsidRDefault="000B0A2E">
            <w:pPr>
              <w:rPr>
                <w:color w:val="000000"/>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108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96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c>
          <w:tcPr>
            <w:tcW w:w="1200" w:type="dxa"/>
            <w:noWrap/>
            <w:tcMar>
              <w:top w:w="0" w:type="dxa"/>
              <w:left w:w="70" w:type="dxa"/>
              <w:bottom w:w="0" w:type="dxa"/>
              <w:right w:w="70" w:type="dxa"/>
            </w:tcMar>
            <w:hideMark/>
          </w:tcPr>
          <w:p w:rsidR="000B0A2E" w:rsidRDefault="000B0A2E">
            <w:pPr>
              <w:rPr>
                <w:rFonts w:ascii="Times New Roman" w:eastAsia="Times New Roman" w:hAnsi="Times New Roman" w:cs="Times New Roman"/>
                <w:sz w:val="20"/>
                <w:szCs w:val="20"/>
              </w:rPr>
            </w:pPr>
          </w:p>
        </w:tc>
      </w:tr>
    </w:tbl>
    <w:p w:rsidR="000B0A2E" w:rsidRDefault="000B0A2E" w:rsidP="00686288">
      <w:pPr>
        <w:ind w:firstLine="708"/>
        <w:rPr>
          <w:lang w:val="es-MX"/>
        </w:rPr>
      </w:pPr>
      <w:r>
        <w:rPr>
          <w:noProof/>
          <w:lang w:val="es-MX"/>
        </w:rPr>
        <w:drawing>
          <wp:inline distT="0" distB="0" distL="0" distR="0">
            <wp:extent cx="5612130" cy="3519805"/>
            <wp:effectExtent l="0" t="0" r="7620"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17.PNG"/>
                    <pic:cNvPicPr/>
                  </pic:nvPicPr>
                  <pic:blipFill>
                    <a:blip r:embed="rId36">
                      <a:extLst>
                        <a:ext uri="{28A0092B-C50C-407E-A947-70E740481C1C}">
                          <a14:useLocalDpi xmlns:a14="http://schemas.microsoft.com/office/drawing/2010/main" val="0"/>
                        </a:ext>
                      </a:extLst>
                    </a:blip>
                    <a:stretch>
                      <a:fillRect/>
                    </a:stretch>
                  </pic:blipFill>
                  <pic:spPr>
                    <a:xfrm>
                      <a:off x="0" y="0"/>
                      <a:ext cx="5612130" cy="3519805"/>
                    </a:xfrm>
                    <a:prstGeom prst="rect">
                      <a:avLst/>
                    </a:prstGeom>
                  </pic:spPr>
                </pic:pic>
              </a:graphicData>
            </a:graphic>
          </wp:inline>
        </w:drawing>
      </w:r>
    </w:p>
    <w:p w:rsidR="00761A9D" w:rsidRPr="001B51E1" w:rsidRDefault="00761A9D" w:rsidP="000B0A2E">
      <w:pPr>
        <w:tabs>
          <w:tab w:val="left" w:pos="1755"/>
        </w:tabs>
        <w:rPr>
          <w:b/>
          <w:lang w:val="es-MX"/>
        </w:rPr>
      </w:pPr>
    </w:p>
    <w:p w:rsidR="00761A9D" w:rsidRPr="001B51E1" w:rsidRDefault="00761A9D" w:rsidP="00761A9D">
      <w:pPr>
        <w:tabs>
          <w:tab w:val="left" w:pos="1755"/>
        </w:tabs>
        <w:rPr>
          <w:b/>
          <w:lang w:val="es-MX"/>
        </w:rPr>
      </w:pPr>
      <w:r w:rsidRPr="001B51E1">
        <w:rPr>
          <w:b/>
          <w:lang w:val="es-MX"/>
        </w:rPr>
        <w:t xml:space="preserve"> Reporte de Actividad Económica                                                                </w:t>
      </w:r>
    </w:p>
    <w:p w:rsidR="00761A9D" w:rsidRPr="00761A9D" w:rsidRDefault="00761A9D" w:rsidP="00761A9D">
      <w:pPr>
        <w:tabs>
          <w:tab w:val="left" w:pos="1755"/>
        </w:tabs>
        <w:rPr>
          <w:lang w:val="es-MX"/>
        </w:rPr>
      </w:pPr>
    </w:p>
    <w:p w:rsidR="00761A9D" w:rsidRPr="00761A9D" w:rsidRDefault="00761A9D" w:rsidP="00761A9D">
      <w:pPr>
        <w:tabs>
          <w:tab w:val="left" w:pos="1755"/>
        </w:tabs>
        <w:rPr>
          <w:lang w:val="es-MX"/>
        </w:rPr>
      </w:pPr>
      <w:r w:rsidRPr="00761A9D">
        <w:rPr>
          <w:lang w:val="es-MX"/>
        </w:rPr>
        <w:t>La variación interanual del IMAE (tendencia-ciclo) para la Región CARD a octubre de 2018, registra un crecimiento de la actividad económica de 3.6% (3.7% en igual mes de 2017). A nivel de países, Guatemala y la República Dominicana continúan mostrando un crecimiento interanual superior respecto al año anterior; asimismo, Costa Rica, El Salvador y Honduras, registraron crecimiento, pero menor al observado doce meses atrás.</w:t>
      </w:r>
    </w:p>
    <w:p w:rsidR="00761A9D" w:rsidRPr="00761A9D" w:rsidRDefault="00761A9D" w:rsidP="00761A9D">
      <w:pPr>
        <w:tabs>
          <w:tab w:val="left" w:pos="1755"/>
        </w:tabs>
        <w:rPr>
          <w:lang w:val="es-MX"/>
        </w:rPr>
      </w:pPr>
    </w:p>
    <w:p w:rsidR="00761A9D" w:rsidRPr="00761A9D" w:rsidRDefault="00761A9D" w:rsidP="00761A9D">
      <w:pPr>
        <w:tabs>
          <w:tab w:val="left" w:pos="1755"/>
        </w:tabs>
        <w:rPr>
          <w:lang w:val="es-MX"/>
        </w:rPr>
      </w:pPr>
      <w:r w:rsidRPr="00761A9D">
        <w:rPr>
          <w:lang w:val="es-MX"/>
        </w:rPr>
        <w:t>El Reporte de Actividad Económica al mes de octubre de 2018 se encuentra disponible en nuestra página web: http://www.secmca.org/Informes.html#actividad_men.</w:t>
      </w:r>
    </w:p>
    <w:p w:rsidR="00761A9D" w:rsidRDefault="00761A9D" w:rsidP="00761A9D">
      <w:pPr>
        <w:tabs>
          <w:tab w:val="left" w:pos="1755"/>
        </w:tabs>
        <w:rPr>
          <w:lang w:val="es-MX"/>
        </w:rPr>
      </w:pPr>
    </w:p>
    <w:p w:rsidR="008B24AB" w:rsidRDefault="008B24AB" w:rsidP="00761A9D">
      <w:pPr>
        <w:tabs>
          <w:tab w:val="left" w:pos="1755"/>
        </w:tabs>
        <w:rPr>
          <w:lang w:val="es-MX"/>
        </w:rPr>
      </w:pPr>
    </w:p>
    <w:p w:rsidR="008B24AB" w:rsidRDefault="008B24AB" w:rsidP="00761A9D">
      <w:pPr>
        <w:tabs>
          <w:tab w:val="left" w:pos="1755"/>
        </w:tabs>
        <w:rPr>
          <w:lang w:val="es-MX"/>
        </w:rPr>
      </w:pPr>
    </w:p>
    <w:p w:rsidR="008B24AB" w:rsidRDefault="008B24AB" w:rsidP="00761A9D">
      <w:pPr>
        <w:tabs>
          <w:tab w:val="left" w:pos="1755"/>
        </w:tabs>
        <w:rPr>
          <w:lang w:val="es-MX"/>
        </w:rPr>
      </w:pPr>
    </w:p>
    <w:p w:rsidR="008B24AB" w:rsidRDefault="008B24AB" w:rsidP="00761A9D">
      <w:pPr>
        <w:tabs>
          <w:tab w:val="left" w:pos="1755"/>
        </w:tabs>
        <w:rPr>
          <w:lang w:val="es-MX"/>
        </w:rPr>
      </w:pPr>
    </w:p>
    <w:p w:rsidR="008B24AB" w:rsidRDefault="008B24AB" w:rsidP="00761A9D">
      <w:pPr>
        <w:tabs>
          <w:tab w:val="left" w:pos="1755"/>
        </w:tabs>
        <w:rPr>
          <w:lang w:val="es-MX"/>
        </w:rPr>
      </w:pPr>
    </w:p>
    <w:p w:rsidR="008B24AB" w:rsidRDefault="008B24AB" w:rsidP="00761A9D">
      <w:pPr>
        <w:tabs>
          <w:tab w:val="left" w:pos="1755"/>
        </w:tabs>
        <w:rPr>
          <w:lang w:val="es-MX"/>
        </w:rPr>
      </w:pPr>
    </w:p>
    <w:p w:rsidR="008B24AB" w:rsidRDefault="008B24AB" w:rsidP="00761A9D">
      <w:pPr>
        <w:tabs>
          <w:tab w:val="left" w:pos="1755"/>
        </w:tabs>
        <w:rPr>
          <w:lang w:val="es-MX"/>
        </w:rPr>
      </w:pPr>
    </w:p>
    <w:p w:rsidR="008B24AB" w:rsidRPr="001B51E1" w:rsidRDefault="008B24AB" w:rsidP="00761A9D">
      <w:pPr>
        <w:tabs>
          <w:tab w:val="left" w:pos="1755"/>
        </w:tabs>
        <w:rPr>
          <w:b/>
          <w:lang w:val="es-MX"/>
        </w:rPr>
      </w:pPr>
    </w:p>
    <w:p w:rsidR="008B24AB" w:rsidRPr="001B51E1" w:rsidRDefault="008B24AB" w:rsidP="00761A9D">
      <w:pPr>
        <w:tabs>
          <w:tab w:val="left" w:pos="1755"/>
        </w:tabs>
        <w:rPr>
          <w:b/>
          <w:lang w:val="es-MX"/>
        </w:rPr>
      </w:pPr>
      <w:r w:rsidRPr="001B51E1">
        <w:rPr>
          <w:b/>
          <w:lang w:val="es-MX"/>
        </w:rPr>
        <w:t>Indice Mensual de Actividad Económica</w:t>
      </w:r>
    </w:p>
    <w:p w:rsidR="008B24AB" w:rsidRDefault="008B24AB" w:rsidP="00761A9D">
      <w:pPr>
        <w:tabs>
          <w:tab w:val="left" w:pos="1755"/>
        </w:tabs>
        <w:rPr>
          <w:lang w:val="es-MX"/>
        </w:rPr>
      </w:pPr>
    </w:p>
    <w:p w:rsidR="008B24AB" w:rsidRPr="008B24AB" w:rsidRDefault="008B24AB" w:rsidP="008B24AB">
      <w:pPr>
        <w:tabs>
          <w:tab w:val="left" w:pos="1755"/>
        </w:tabs>
        <w:rPr>
          <w:lang w:val="es-MX"/>
        </w:rPr>
      </w:pPr>
      <w:r>
        <w:rPr>
          <w:lang w:val="es-MX"/>
        </w:rPr>
        <w:t xml:space="preserve"> </w:t>
      </w:r>
      <w:r w:rsidRPr="008B24AB">
        <w:rPr>
          <w:lang w:val="es-MX"/>
        </w:rPr>
        <w:t>Noviembre 2018</w:t>
      </w:r>
    </w:p>
    <w:p w:rsidR="008B24AB" w:rsidRPr="001B51E1" w:rsidRDefault="008B24AB" w:rsidP="008B24AB">
      <w:pPr>
        <w:tabs>
          <w:tab w:val="left" w:pos="1755"/>
        </w:tabs>
        <w:rPr>
          <w:b/>
          <w:lang w:val="es-MX"/>
        </w:rPr>
      </w:pPr>
      <w:r w:rsidRPr="001B51E1">
        <w:rPr>
          <w:b/>
          <w:lang w:val="es-MX"/>
        </w:rPr>
        <w:t>Costa Rica</w:t>
      </w:r>
    </w:p>
    <w:p w:rsidR="008B24AB" w:rsidRPr="008B24AB" w:rsidRDefault="008B24AB" w:rsidP="008B24AB">
      <w:pPr>
        <w:tabs>
          <w:tab w:val="left" w:pos="1755"/>
        </w:tabs>
        <w:rPr>
          <w:lang w:val="es-MX"/>
        </w:rPr>
      </w:pPr>
    </w:p>
    <w:p w:rsidR="008B24AB" w:rsidRPr="008B24AB" w:rsidRDefault="008B24AB" w:rsidP="008B24AB">
      <w:pPr>
        <w:tabs>
          <w:tab w:val="left" w:pos="1755"/>
        </w:tabs>
        <w:rPr>
          <w:lang w:val="es-MX"/>
        </w:rPr>
      </w:pPr>
      <w:r w:rsidRPr="008B24AB">
        <w:rPr>
          <w:lang w:val="es-MX"/>
        </w:rPr>
        <w:t>En Costa Rica, el Índice Mensual de Actividad Económica (IMAE en tendencia-ciclo) correspondiente al mes de noviembre de 2018 presentó un crecimiento interanual de 1.9% (3.1% en noviembre de 2017). La desaceleración del indicador fue un reflejo de un crecimiento moderado en la mayoría de las actividades económicas, con excepción de la Construcción; Alojamiento y servicios de comida; y Actividades inmobiliarias.</w:t>
      </w:r>
    </w:p>
    <w:p w:rsidR="008B24AB" w:rsidRPr="008B24AB" w:rsidRDefault="008B24AB" w:rsidP="008B24AB">
      <w:pPr>
        <w:tabs>
          <w:tab w:val="left" w:pos="1755"/>
        </w:tabs>
        <w:rPr>
          <w:lang w:val="es-MX"/>
        </w:rPr>
      </w:pPr>
    </w:p>
    <w:p w:rsidR="008B24AB" w:rsidRPr="008B24AB" w:rsidRDefault="008B24AB" w:rsidP="008B24AB">
      <w:pPr>
        <w:tabs>
          <w:tab w:val="left" w:pos="1755"/>
        </w:tabs>
        <w:rPr>
          <w:lang w:val="es-MX"/>
        </w:rPr>
      </w:pPr>
      <w:r w:rsidRPr="008B24AB">
        <w:rPr>
          <w:lang w:val="es-MX"/>
        </w:rPr>
        <w:t>Publicación:</w:t>
      </w:r>
      <w:r w:rsidRPr="008B24AB">
        <w:rPr>
          <w:lang w:val="es-MX"/>
        </w:rPr>
        <w:tab/>
        <w:t xml:space="preserve"> </w:t>
      </w:r>
      <w:r w:rsidRPr="008B24AB">
        <w:rPr>
          <w:lang w:val="es-MX"/>
        </w:rPr>
        <w:tab/>
        <w:t xml:space="preserve"> </w:t>
      </w:r>
      <w:r w:rsidRPr="008B24AB">
        <w:rPr>
          <w:lang w:val="es-MX"/>
        </w:rPr>
        <w:tab/>
        <w:t xml:space="preserve"> </w:t>
      </w:r>
      <w:r w:rsidRPr="008B24AB">
        <w:rPr>
          <w:lang w:val="es-MX"/>
        </w:rPr>
        <w:tab/>
        <w:t xml:space="preserve"> </w:t>
      </w:r>
      <w:r w:rsidRPr="008B24AB">
        <w:rPr>
          <w:lang w:val="es-MX"/>
        </w:rPr>
        <w:tab/>
        <w:t xml:space="preserve"> </w:t>
      </w:r>
    </w:p>
    <w:p w:rsidR="008B24AB" w:rsidRPr="00761A9D" w:rsidRDefault="008B24AB" w:rsidP="008B24AB">
      <w:pPr>
        <w:tabs>
          <w:tab w:val="left" w:pos="1755"/>
        </w:tabs>
        <w:rPr>
          <w:lang w:val="es-MX"/>
        </w:rPr>
      </w:pPr>
      <w:r w:rsidRPr="008B24AB">
        <w:rPr>
          <w:lang w:val="es-MX"/>
        </w:rPr>
        <w:t>https://gee.bccr.fi.cr/indicadoreseconomicos/Documentos/Sector%20Indices%20de%20Precios%20y%20de%20Cantidad/IMAE_NOVIEMBRE_2018.pdf</w:t>
      </w:r>
      <w:r w:rsidRPr="008B24AB">
        <w:rPr>
          <w:lang w:val="es-MX"/>
        </w:rPr>
        <w:cr/>
      </w:r>
    </w:p>
    <w:p w:rsidR="000B0A2E" w:rsidRDefault="008B24AB" w:rsidP="000B0A2E">
      <w:pPr>
        <w:tabs>
          <w:tab w:val="left" w:pos="1755"/>
        </w:tabs>
        <w:rPr>
          <w:lang w:val="es-MX"/>
        </w:rPr>
      </w:pPr>
      <w:r>
        <w:rPr>
          <w:noProof/>
          <w:lang w:val="es-MX"/>
        </w:rPr>
        <w:lastRenderedPageBreak/>
        <w:drawing>
          <wp:inline distT="0" distB="0" distL="0" distR="0">
            <wp:extent cx="5612130" cy="3542665"/>
            <wp:effectExtent l="0" t="0" r="762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18.PNG"/>
                    <pic:cNvPicPr/>
                  </pic:nvPicPr>
                  <pic:blipFill>
                    <a:blip r:embed="rId37">
                      <a:extLst>
                        <a:ext uri="{28A0092B-C50C-407E-A947-70E740481C1C}">
                          <a14:useLocalDpi xmlns:a14="http://schemas.microsoft.com/office/drawing/2010/main" val="0"/>
                        </a:ext>
                      </a:extLst>
                    </a:blip>
                    <a:stretch>
                      <a:fillRect/>
                    </a:stretch>
                  </pic:blipFill>
                  <pic:spPr>
                    <a:xfrm>
                      <a:off x="0" y="0"/>
                      <a:ext cx="5612130" cy="3542665"/>
                    </a:xfrm>
                    <a:prstGeom prst="rect">
                      <a:avLst/>
                    </a:prstGeom>
                  </pic:spPr>
                </pic:pic>
              </a:graphicData>
            </a:graphic>
          </wp:inline>
        </w:drawing>
      </w:r>
    </w:p>
    <w:p w:rsidR="008B24AB" w:rsidRDefault="008B24AB" w:rsidP="000B0A2E">
      <w:pPr>
        <w:tabs>
          <w:tab w:val="left" w:pos="1755"/>
        </w:tabs>
        <w:rPr>
          <w:lang w:val="es-MX"/>
        </w:rPr>
      </w:pPr>
    </w:p>
    <w:p w:rsidR="00085549" w:rsidRPr="001B51E1" w:rsidRDefault="00085549" w:rsidP="00085549">
      <w:pPr>
        <w:tabs>
          <w:tab w:val="left" w:pos="1755"/>
        </w:tabs>
        <w:rPr>
          <w:b/>
          <w:lang w:val="es-MX"/>
        </w:rPr>
      </w:pPr>
      <w:r w:rsidRPr="001B51E1">
        <w:rPr>
          <w:b/>
          <w:lang w:val="es-MX"/>
        </w:rPr>
        <w:t>Noticia: Reporte Mensual de Inflación Regional</w:t>
      </w:r>
    </w:p>
    <w:p w:rsidR="00085549" w:rsidRPr="00085549" w:rsidRDefault="00085549" w:rsidP="00085549">
      <w:pPr>
        <w:tabs>
          <w:tab w:val="left" w:pos="1755"/>
        </w:tabs>
        <w:rPr>
          <w:lang w:val="es-MX"/>
        </w:rPr>
      </w:pPr>
    </w:p>
    <w:p w:rsidR="00085549" w:rsidRPr="00085549" w:rsidRDefault="00085549" w:rsidP="00085549">
      <w:pPr>
        <w:tabs>
          <w:tab w:val="left" w:pos="1755"/>
        </w:tabs>
        <w:rPr>
          <w:lang w:val="es-MX"/>
        </w:rPr>
      </w:pPr>
      <w:r w:rsidRPr="00085549">
        <w:rPr>
          <w:lang w:val="es-MX"/>
        </w:rPr>
        <w:t xml:space="preserve">La inflación interanual de la Región CARD (Centroamérica y La República Dominicana) a diciembre de 2018 se ubicó en 1.97%, muy por debajo del nivel observado en diciembre de 2017 (4.25%), situándose dentro o por debajo del rango meta objetivo o de proyección previsto por los bancos centrales de la Región. Todos los países de la Región CARD registraron un comportamiento a la baja de la Inflación, evidenciando una desaceleración en relación con los meses anteriores. </w:t>
      </w:r>
    </w:p>
    <w:p w:rsidR="00085549" w:rsidRPr="00085549" w:rsidRDefault="00085549" w:rsidP="00085549">
      <w:pPr>
        <w:tabs>
          <w:tab w:val="left" w:pos="1755"/>
        </w:tabs>
        <w:rPr>
          <w:lang w:val="es-MX"/>
        </w:rPr>
      </w:pPr>
    </w:p>
    <w:p w:rsidR="00085549" w:rsidRPr="00085549" w:rsidRDefault="00085549" w:rsidP="00085549">
      <w:pPr>
        <w:tabs>
          <w:tab w:val="left" w:pos="1755"/>
        </w:tabs>
        <w:rPr>
          <w:lang w:val="es-MX"/>
        </w:rPr>
      </w:pPr>
      <w:r w:rsidRPr="00085549">
        <w:rPr>
          <w:lang w:val="es-MX"/>
        </w:rPr>
        <w:t>El Reporte Mensual de Inflación Regional, a diciembre de 2018, se encuentra disponible en http://www.secmca.org/Informes.html#inflacion_men.</w:t>
      </w:r>
    </w:p>
    <w:p w:rsidR="008B24AB" w:rsidRPr="000B0A2E" w:rsidRDefault="00085549" w:rsidP="00085549">
      <w:pPr>
        <w:tabs>
          <w:tab w:val="left" w:pos="1755"/>
        </w:tabs>
        <w:rPr>
          <w:lang w:val="es-MX"/>
        </w:rPr>
      </w:pPr>
      <w:r w:rsidRPr="00085549">
        <w:rPr>
          <w:lang w:val="es-MX"/>
        </w:rPr>
        <w:cr/>
      </w:r>
    </w:p>
    <w:sectPr w:rsidR="008B24AB" w:rsidRPr="000B0A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C2"/>
    <w:rsid w:val="00085549"/>
    <w:rsid w:val="000B0A2E"/>
    <w:rsid w:val="00165D4C"/>
    <w:rsid w:val="00185AB4"/>
    <w:rsid w:val="001B51E1"/>
    <w:rsid w:val="00377B33"/>
    <w:rsid w:val="004741CE"/>
    <w:rsid w:val="006003B4"/>
    <w:rsid w:val="00617FF7"/>
    <w:rsid w:val="006569E2"/>
    <w:rsid w:val="00686288"/>
    <w:rsid w:val="00742E70"/>
    <w:rsid w:val="00761A9D"/>
    <w:rsid w:val="00787EB3"/>
    <w:rsid w:val="008B24AB"/>
    <w:rsid w:val="00943F30"/>
    <w:rsid w:val="00976943"/>
    <w:rsid w:val="009B6B29"/>
    <w:rsid w:val="009F59BA"/>
    <w:rsid w:val="00A20FE1"/>
    <w:rsid w:val="00D061C2"/>
    <w:rsid w:val="00D42E65"/>
    <w:rsid w:val="00E534D5"/>
    <w:rsid w:val="00EB0F8F"/>
    <w:rsid w:val="00EB63E5"/>
    <w:rsid w:val="00EE2A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9C1DB-F77B-4A7A-91BB-426F10D6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2E70"/>
    <w:rPr>
      <w:color w:val="0563C1"/>
      <w:u w:val="single"/>
    </w:rPr>
  </w:style>
  <w:style w:type="character" w:styleId="Mencinsinresolver">
    <w:name w:val="Unresolved Mention"/>
    <w:basedOn w:val="Fuentedeprrafopredeter"/>
    <w:uiPriority w:val="99"/>
    <w:semiHidden/>
    <w:unhideWhenUsed/>
    <w:rsid w:val="0074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065">
      <w:bodyDiv w:val="1"/>
      <w:marLeft w:val="0"/>
      <w:marRight w:val="0"/>
      <w:marTop w:val="0"/>
      <w:marBottom w:val="0"/>
      <w:divBdr>
        <w:top w:val="none" w:sz="0" w:space="0" w:color="auto"/>
        <w:left w:val="none" w:sz="0" w:space="0" w:color="auto"/>
        <w:bottom w:val="none" w:sz="0" w:space="0" w:color="auto"/>
        <w:right w:val="none" w:sz="0" w:space="0" w:color="auto"/>
      </w:divBdr>
    </w:div>
    <w:div w:id="893008596">
      <w:bodyDiv w:val="1"/>
      <w:marLeft w:val="0"/>
      <w:marRight w:val="0"/>
      <w:marTop w:val="0"/>
      <w:marBottom w:val="0"/>
      <w:divBdr>
        <w:top w:val="none" w:sz="0" w:space="0" w:color="auto"/>
        <w:left w:val="none" w:sz="0" w:space="0" w:color="auto"/>
        <w:bottom w:val="none" w:sz="0" w:space="0" w:color="auto"/>
        <w:right w:val="none" w:sz="0" w:space="0" w:color="auto"/>
      </w:divBdr>
    </w:div>
    <w:div w:id="966664776">
      <w:bodyDiv w:val="1"/>
      <w:marLeft w:val="0"/>
      <w:marRight w:val="0"/>
      <w:marTop w:val="0"/>
      <w:marBottom w:val="0"/>
      <w:divBdr>
        <w:top w:val="none" w:sz="0" w:space="0" w:color="auto"/>
        <w:left w:val="none" w:sz="0" w:space="0" w:color="auto"/>
        <w:bottom w:val="none" w:sz="0" w:space="0" w:color="auto"/>
        <w:right w:val="none" w:sz="0" w:space="0" w:color="auto"/>
      </w:divBdr>
    </w:div>
    <w:div w:id="1213467070">
      <w:bodyDiv w:val="1"/>
      <w:marLeft w:val="0"/>
      <w:marRight w:val="0"/>
      <w:marTop w:val="0"/>
      <w:marBottom w:val="0"/>
      <w:divBdr>
        <w:top w:val="none" w:sz="0" w:space="0" w:color="auto"/>
        <w:left w:val="none" w:sz="0" w:space="0" w:color="auto"/>
        <w:bottom w:val="none" w:sz="0" w:space="0" w:color="auto"/>
        <w:right w:val="none" w:sz="0" w:space="0" w:color="auto"/>
      </w:divBdr>
    </w:div>
    <w:div w:id="21423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mca.org/simafir.html" TargetMode="External"/><Relationship Id="rId18" Type="http://schemas.openxmlformats.org/officeDocument/2006/relationships/image" Target="media/image11.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image" Target="media/image23.PNG"/><Relationship Id="rId7" Type="http://schemas.openxmlformats.org/officeDocument/2006/relationships/image" Target="media/image4.PNG"/><Relationship Id="rId12" Type="http://schemas.openxmlformats.org/officeDocument/2006/relationships/hyperlink" Target="http://www.secmca.org/Informes.html" TargetMode="External"/><Relationship Id="rId17" Type="http://schemas.openxmlformats.org/officeDocument/2006/relationships/hyperlink" Target="https://www.ine.gob.gt/sistema/uploads/2019/01/07/20190107113954aE63D8ky7MoFhXG3MgBOYfWXBzsEFBGD.pdf" TargetMode="External"/><Relationship Id="rId25" Type="http://schemas.openxmlformats.org/officeDocument/2006/relationships/hyperlink" Target="https://www.bcr.gob.sv/bcrsite/?x21=73&amp;lang=es" TargetMode="External"/><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www.bancentral.gov.do/a/d/4194-bcrd-informa-que-la-inflacion-cerro-el-ano-2018-en-117" TargetMode="External"/><Relationship Id="rId29" Type="http://schemas.openxmlformats.org/officeDocument/2006/relationships/image" Target="media/image1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5.PNG"/><Relationship Id="rId5" Type="http://schemas.openxmlformats.org/officeDocument/2006/relationships/image" Target="media/image2.PNG"/><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image" Target="media/image7.PNG"/><Relationship Id="rId19" Type="http://schemas.openxmlformats.org/officeDocument/2006/relationships/hyperlink" Target="http://www.secmca.org/Informes.html" TargetMode="External"/><Relationship Id="rId31" Type="http://schemas.openxmlformats.org/officeDocument/2006/relationships/image" Target="media/image20.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www.bch.hn/download/ipc_historico/2018/ipc122018.pdf" TargetMode="External"/><Relationship Id="rId22" Type="http://schemas.openxmlformats.org/officeDocument/2006/relationships/hyperlink" Target="http://www.inec.go.cr/sites/default/files/documetos-biblioteca-virtual/aneconomipc122018-01.pdf" TargetMode="Externa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contraloria.gob.pa/inec/archivos/A101COMENTARIO%20IPC%20Diciembre%202018.pdf" TargetMode="External"/><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2452</Words>
  <Characters>13491</Characters>
  <Application>Microsoft Office Word</Application>
  <DocSecurity>4</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Quesada Orozco</dc:creator>
  <cp:keywords/>
  <dc:description/>
  <cp:lastModifiedBy>Dennis Sandoval Orozco</cp:lastModifiedBy>
  <cp:revision>2</cp:revision>
  <dcterms:created xsi:type="dcterms:W3CDTF">2019-01-29T20:33:00Z</dcterms:created>
  <dcterms:modified xsi:type="dcterms:W3CDTF">2019-01-29T20:33:00Z</dcterms:modified>
</cp:coreProperties>
</file>