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stilo111"/>
        <w:tblW w:w="12879" w:type="dxa"/>
        <w:tblInd w:w="0" w:type="dxa"/>
        <w:tblLook w:val="04A0" w:firstRow="1" w:lastRow="0" w:firstColumn="1" w:lastColumn="0" w:noHBand="0" w:noVBand="1"/>
      </w:tblPr>
      <w:tblGrid>
        <w:gridCol w:w="1906"/>
        <w:gridCol w:w="1332"/>
        <w:gridCol w:w="6237"/>
        <w:gridCol w:w="3404"/>
      </w:tblGrid>
      <w:tr w:rsidR="00195EC2" w:rsidTr="009F2ACD">
        <w:tc>
          <w:tcPr>
            <w:tcW w:w="323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195EC2" w:rsidRDefault="00195EC2" w:rsidP="009F2ACD">
            <w:pPr>
              <w:adjustRightInd w:val="0"/>
              <w:spacing w:after="0" w:line="360" w:lineRule="auto"/>
              <w:jc w:val="center"/>
              <w:rPr>
                <w:rFonts w:ascii="Calibri" w:hAnsi="Calibri" w:cs="ChollaWide"/>
                <w:b/>
                <w:color w:val="231F20"/>
                <w:sz w:val="28"/>
                <w:szCs w:val="28"/>
              </w:rPr>
            </w:pPr>
            <w:r>
              <w:rPr>
                <w:rFonts w:ascii="Calibri" w:hAnsi="Calibri" w:cs="ChollaWide"/>
                <w:b/>
                <w:noProof/>
                <w:color w:val="231F2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4134B6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104775</wp:posOffset>
                  </wp:positionV>
                  <wp:extent cx="1275261" cy="1352550"/>
                  <wp:effectExtent l="0" t="0" r="1270" b="0"/>
                  <wp:wrapThrough wrapText="bothSides">
                    <wp:wrapPolygon edited="0">
                      <wp:start x="7745" y="0"/>
                      <wp:lineTo x="4195" y="1521"/>
                      <wp:lineTo x="645" y="4259"/>
                      <wp:lineTo x="0" y="10039"/>
                      <wp:lineTo x="0" y="13082"/>
                      <wp:lineTo x="323" y="15820"/>
                      <wp:lineTo x="3873" y="19775"/>
                      <wp:lineTo x="7745" y="21296"/>
                      <wp:lineTo x="9036" y="21296"/>
                      <wp:lineTo x="11618" y="21296"/>
                      <wp:lineTo x="13554" y="21296"/>
                      <wp:lineTo x="16781" y="20383"/>
                      <wp:lineTo x="20976" y="15820"/>
                      <wp:lineTo x="21299" y="12473"/>
                      <wp:lineTo x="21299" y="9127"/>
                      <wp:lineTo x="20976" y="4259"/>
                      <wp:lineTo x="17104" y="1521"/>
                      <wp:lineTo x="13554" y="0"/>
                      <wp:lineTo x="7745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CMCA-princip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261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195EC2" w:rsidRDefault="00195EC2" w:rsidP="00DC2F48">
            <w:pPr>
              <w:adjustRightInd w:val="0"/>
              <w:spacing w:after="0" w:line="360" w:lineRule="auto"/>
              <w:jc w:val="right"/>
              <w:rPr>
                <w:rFonts w:ascii="Calibri" w:hAnsi="Calibri" w:cs="ChollaWide"/>
                <w:b/>
                <w:color w:val="231F2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195EC2" w:rsidRDefault="00195EC2" w:rsidP="00DC2F48">
            <w:pPr>
              <w:adjustRightInd w:val="0"/>
              <w:spacing w:after="0" w:line="360" w:lineRule="auto"/>
              <w:jc w:val="right"/>
              <w:rPr>
                <w:rFonts w:ascii="Calibri" w:hAnsi="Calibri" w:cs="ChollaWide"/>
                <w:b/>
                <w:color w:val="231F20"/>
                <w:sz w:val="28"/>
                <w:szCs w:val="28"/>
              </w:rPr>
            </w:pPr>
            <w:r>
              <w:rPr>
                <w:rFonts w:ascii="Calibri" w:hAnsi="Calibri" w:cs="ChollaWide"/>
                <w:b/>
                <w:noProof/>
                <w:color w:val="231F2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75437CF" wp14:editId="74EE0A84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245745</wp:posOffset>
                  </wp:positionV>
                  <wp:extent cx="1865030" cy="1173707"/>
                  <wp:effectExtent l="0" t="0" r="1905" b="7620"/>
                  <wp:wrapThrough wrapText="bothSides">
                    <wp:wrapPolygon edited="0">
                      <wp:start x="10149" y="0"/>
                      <wp:lineTo x="7060" y="2455"/>
                      <wp:lineTo x="5516" y="4558"/>
                      <wp:lineTo x="5516" y="9117"/>
                      <wp:lineTo x="5957" y="11221"/>
                      <wp:lineTo x="6840" y="11221"/>
                      <wp:lineTo x="0" y="15429"/>
                      <wp:lineTo x="0" y="21390"/>
                      <wp:lineTo x="21401" y="21390"/>
                      <wp:lineTo x="21401" y="15429"/>
                      <wp:lineTo x="15003" y="11221"/>
                      <wp:lineTo x="17871" y="6312"/>
                      <wp:lineTo x="18313" y="3506"/>
                      <wp:lineTo x="16106" y="351"/>
                      <wp:lineTo x="13679" y="0"/>
                      <wp:lineTo x="10149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ECMCADATOS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030" cy="117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51A5" w:rsidRPr="002D3F9F" w:rsidTr="009F2ACD">
        <w:tc>
          <w:tcPr>
            <w:tcW w:w="1287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0A51A5" w:rsidRPr="002D3F9F" w:rsidRDefault="00831DC6">
            <w:pPr>
              <w:adjustRightInd w:val="0"/>
              <w:spacing w:after="0" w:line="360" w:lineRule="auto"/>
              <w:jc w:val="center"/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  <w:t xml:space="preserve"> </w:t>
            </w:r>
            <w:r w:rsidR="00A207D0"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  <w:t>PRECIOS</w:t>
            </w:r>
          </w:p>
        </w:tc>
      </w:tr>
      <w:tr w:rsidR="00B004D7" w:rsidRPr="002D3F9F" w:rsidTr="009F2ACD">
        <w:tc>
          <w:tcPr>
            <w:tcW w:w="1287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B004D7" w:rsidRPr="002D3F9F" w:rsidRDefault="00A53E17">
            <w:pPr>
              <w:adjustRightInd w:val="0"/>
              <w:spacing w:after="0" w:line="360" w:lineRule="auto"/>
              <w:jc w:val="center"/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  <w:t>EXPECTATIVA</w:t>
            </w:r>
            <w:r w:rsidR="00D77317"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  <w:t>S</w:t>
            </w:r>
            <w:r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  <w:t xml:space="preserve"> DE INFLACIÓN</w:t>
            </w:r>
          </w:p>
        </w:tc>
      </w:tr>
      <w:tr w:rsidR="009C5518" w:rsidRPr="002D3F9F" w:rsidTr="009F2ACD">
        <w:tc>
          <w:tcPr>
            <w:tcW w:w="1287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</w:tcPr>
          <w:p w:rsidR="009C5518" w:rsidRPr="002D3F9F" w:rsidRDefault="009C5518" w:rsidP="009C5518">
            <w:pPr>
              <w:adjustRightInd w:val="0"/>
              <w:spacing w:after="0" w:line="360" w:lineRule="auto"/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  <w:t>CONTACTO</w:t>
            </w:r>
          </w:p>
        </w:tc>
      </w:tr>
      <w:tr w:rsidR="00B004D7" w:rsidRPr="002D3F9F" w:rsidTr="009F2ACD">
        <w:tc>
          <w:tcPr>
            <w:tcW w:w="19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B004D7" w:rsidRPr="002D3F9F" w:rsidRDefault="00B004D7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2D3F9F">
              <w:rPr>
                <w:rFonts w:ascii="Futura Lt BT" w:hAnsi="Futura Lt BT" w:cs="ChollaWide"/>
                <w:color w:val="231F20"/>
                <w:sz w:val="24"/>
                <w:szCs w:val="24"/>
              </w:rPr>
              <w:t>Contacto</w:t>
            </w:r>
          </w:p>
        </w:tc>
        <w:tc>
          <w:tcPr>
            <w:tcW w:w="109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2D3F9F" w:rsidRPr="002D3F9F" w:rsidRDefault="00A207D0" w:rsidP="00A207D0">
            <w:pPr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informacion@secmca.org</w:t>
            </w:r>
          </w:p>
        </w:tc>
      </w:tr>
      <w:tr w:rsidR="002D3F9F" w:rsidRPr="002D3F9F" w:rsidTr="009F2ACD">
        <w:tc>
          <w:tcPr>
            <w:tcW w:w="19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2D3F9F" w:rsidRPr="002D3F9F" w:rsidRDefault="002D3F9F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2D3F9F">
              <w:rPr>
                <w:rFonts w:ascii="Futura Lt BT" w:hAnsi="Futura Lt BT" w:cs="ChollaWide"/>
                <w:color w:val="231F20"/>
                <w:sz w:val="24"/>
                <w:szCs w:val="24"/>
              </w:rPr>
              <w:t>Fecha de actualización de los metadatos</w:t>
            </w:r>
          </w:p>
        </w:tc>
        <w:tc>
          <w:tcPr>
            <w:tcW w:w="109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2D3F9F" w:rsidRPr="002D3F9F" w:rsidRDefault="00645DF4" w:rsidP="002D3F9F">
            <w:pPr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Febrero de 2020</w:t>
            </w:r>
          </w:p>
        </w:tc>
      </w:tr>
      <w:tr w:rsidR="009C5518" w:rsidRPr="00246279" w:rsidTr="009F2ACD">
        <w:tc>
          <w:tcPr>
            <w:tcW w:w="1287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</w:tcPr>
          <w:p w:rsidR="009C5518" w:rsidRPr="00246279" w:rsidRDefault="00246279" w:rsidP="00246279">
            <w:pPr>
              <w:adjustRightInd w:val="0"/>
              <w:spacing w:after="0" w:line="360" w:lineRule="auto"/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</w:pPr>
            <w:r w:rsidRPr="00246279"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  <w:t xml:space="preserve">CARACTERÍSTICAS DE </w:t>
            </w:r>
            <w:r w:rsidR="009C5518" w:rsidRPr="00246279"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  <w:t>LOS DATOS</w:t>
            </w:r>
          </w:p>
        </w:tc>
      </w:tr>
      <w:tr w:rsidR="00226AF8" w:rsidRPr="002D3F9F" w:rsidTr="009F2ACD">
        <w:tc>
          <w:tcPr>
            <w:tcW w:w="19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26AF8" w:rsidRPr="002D3F9F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2D3F9F">
              <w:rPr>
                <w:rFonts w:ascii="Futura Lt BT" w:hAnsi="Futura Lt BT" w:cs="ChollaWide"/>
                <w:color w:val="231F20"/>
                <w:sz w:val="24"/>
                <w:szCs w:val="24"/>
              </w:rPr>
              <w:t>D</w:t>
            </w: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escripción</w:t>
            </w:r>
          </w:p>
        </w:tc>
        <w:tc>
          <w:tcPr>
            <w:tcW w:w="109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26AF8" w:rsidRPr="000102FB" w:rsidRDefault="00477AD7" w:rsidP="00226AF8">
            <w:pPr>
              <w:adjustRightInd w:val="0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Se refiere a las per</w:t>
            </w:r>
            <w:r w:rsidR="00A53E17" w:rsidRPr="000102FB">
              <w:rPr>
                <w:rFonts w:ascii="Futura Lt BT" w:hAnsi="Futura Lt BT" w:cs="ChollaWide"/>
                <w:color w:val="231F20"/>
                <w:sz w:val="24"/>
                <w:szCs w:val="24"/>
              </w:rPr>
              <w:t>spectivas de inflación</w:t>
            </w:r>
            <w:r w:rsidR="00D77317" w:rsidRPr="000102FB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 percibidas por agentes económicos especializados</w:t>
            </w:r>
            <w:r w:rsidRPr="000102FB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 </w:t>
            </w:r>
            <w:r w:rsidRPr="000102FB">
              <w:rPr>
                <w:rFonts w:ascii="Futura Lt BT" w:hAnsi="Futura Lt BT" w:cs="ChollaWide"/>
                <w:color w:val="231F20"/>
                <w:sz w:val="24"/>
                <w:szCs w:val="24"/>
              </w:rPr>
              <w:t>para un horizonte de 12 meses</w:t>
            </w:r>
            <w:r w:rsidR="00D77317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 y</w:t>
            </w:r>
            <w:r w:rsidR="00A53E17" w:rsidRPr="000102FB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 medida como la variación interanual del índice de precios al consumidor.  Está basada en las Encuestas de Expectativas que se le aplican mensualmente a un grupo de especialistas en el área económica</w:t>
            </w: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 de un país determinado.</w:t>
            </w:r>
            <w:bookmarkStart w:id="0" w:name="_GoBack"/>
            <w:bookmarkEnd w:id="0"/>
          </w:p>
        </w:tc>
      </w:tr>
      <w:tr w:rsidR="00226AF8" w:rsidRPr="002D3F9F" w:rsidTr="009F2ACD">
        <w:tc>
          <w:tcPr>
            <w:tcW w:w="19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226AF8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Alcance</w:t>
            </w:r>
          </w:p>
          <w:p w:rsidR="00226AF8" w:rsidRPr="002D3F9F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Cobertura</w:t>
            </w:r>
            <w:r w:rsidRPr="002D3F9F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 y desagregaciones</w:t>
            </w:r>
          </w:p>
        </w:tc>
        <w:tc>
          <w:tcPr>
            <w:tcW w:w="109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5F9F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2D3F9F">
              <w:rPr>
                <w:rFonts w:ascii="Futura Lt BT" w:hAnsi="Futura Lt BT" w:cs="ChollaWide"/>
                <w:color w:val="231F20"/>
                <w:sz w:val="24"/>
                <w:szCs w:val="24"/>
              </w:rPr>
              <w:t>Por país</w:t>
            </w:r>
          </w:p>
          <w:p w:rsidR="00226AF8" w:rsidRPr="002D3F9F" w:rsidRDefault="00226AF8" w:rsidP="00714A2F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</w:p>
        </w:tc>
      </w:tr>
      <w:tr w:rsidR="00226AF8" w:rsidRPr="002D3F9F" w:rsidTr="009F2ACD">
        <w:tc>
          <w:tcPr>
            <w:tcW w:w="19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226AF8" w:rsidRPr="002D3F9F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Características</w:t>
            </w:r>
          </w:p>
        </w:tc>
        <w:tc>
          <w:tcPr>
            <w:tcW w:w="109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226AF8" w:rsidRPr="002D3F9F" w:rsidRDefault="00D77317" w:rsidP="00D15052">
            <w:pPr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D77317">
              <w:rPr>
                <w:rFonts w:ascii="Futura Lt BT" w:hAnsi="Futura Lt BT" w:cs="ChollaWide"/>
                <w:color w:val="231F20"/>
                <w:sz w:val="24"/>
                <w:szCs w:val="24"/>
              </w:rPr>
              <w:t>En El Salvador, Nicaragua y Panamá no</w:t>
            </w:r>
            <w:r w:rsidRPr="00D65A4A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 se dispone de las expectativas de inflación a 12 meses</w:t>
            </w:r>
            <w:r w:rsidR="00D15052" w:rsidRPr="00D15052">
              <w:rPr>
                <w:rFonts w:ascii="Futura Lt BT" w:hAnsi="Futura Lt BT" w:cs="ChollaWide"/>
                <w:color w:val="231F20"/>
                <w:sz w:val="24"/>
                <w:szCs w:val="24"/>
              </w:rPr>
              <w:tab/>
            </w:r>
            <w:r w:rsidR="00D15052" w:rsidRPr="00D15052">
              <w:rPr>
                <w:rFonts w:ascii="Futura Lt BT" w:hAnsi="Futura Lt BT" w:cs="ChollaWide"/>
                <w:color w:val="231F20"/>
                <w:sz w:val="24"/>
                <w:szCs w:val="24"/>
              </w:rPr>
              <w:tab/>
            </w:r>
            <w:r w:rsidR="00D15052" w:rsidRPr="00D15052">
              <w:rPr>
                <w:rFonts w:ascii="Futura Lt BT" w:hAnsi="Futura Lt BT" w:cs="ChollaWide"/>
                <w:color w:val="231F20"/>
                <w:sz w:val="24"/>
                <w:szCs w:val="24"/>
              </w:rPr>
              <w:tab/>
            </w:r>
            <w:r w:rsidR="00D15052" w:rsidRPr="00D15052">
              <w:rPr>
                <w:rFonts w:ascii="Futura Lt BT" w:hAnsi="Futura Lt BT" w:cs="ChollaWide"/>
                <w:color w:val="231F20"/>
                <w:sz w:val="24"/>
                <w:szCs w:val="24"/>
              </w:rPr>
              <w:tab/>
            </w:r>
          </w:p>
        </w:tc>
      </w:tr>
      <w:tr w:rsidR="00226AF8" w:rsidRPr="002D3F9F" w:rsidTr="009F2ACD">
        <w:tc>
          <w:tcPr>
            <w:tcW w:w="19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26AF8" w:rsidRPr="002D3F9F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2D3F9F">
              <w:rPr>
                <w:rFonts w:ascii="Futura Lt BT" w:hAnsi="Futura Lt BT" w:cs="ChollaWide"/>
                <w:color w:val="231F20"/>
                <w:sz w:val="24"/>
                <w:szCs w:val="24"/>
              </w:rPr>
              <w:lastRenderedPageBreak/>
              <w:t>Unidad de medida</w:t>
            </w:r>
          </w:p>
        </w:tc>
        <w:tc>
          <w:tcPr>
            <w:tcW w:w="109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26AF8" w:rsidRPr="000102FB" w:rsidRDefault="00A53E17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0102FB">
              <w:rPr>
                <w:rFonts w:ascii="Futura Lt BT" w:hAnsi="Futura Lt BT" w:cs="ChollaWide"/>
                <w:color w:val="231F20"/>
                <w:sz w:val="24"/>
                <w:szCs w:val="24"/>
              </w:rPr>
              <w:t>Porcentaje</w:t>
            </w:r>
          </w:p>
        </w:tc>
      </w:tr>
      <w:tr w:rsidR="00226AF8" w:rsidRPr="002D3F9F" w:rsidTr="009F2ACD">
        <w:tc>
          <w:tcPr>
            <w:tcW w:w="19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26AF8" w:rsidRPr="002D3F9F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2D3F9F">
              <w:rPr>
                <w:rFonts w:ascii="Futura Lt BT" w:hAnsi="Futura Lt BT" w:cs="ChollaWide"/>
                <w:color w:val="231F20"/>
                <w:sz w:val="24"/>
                <w:szCs w:val="24"/>
              </w:rPr>
              <w:t>Periodicidad</w:t>
            </w:r>
          </w:p>
        </w:tc>
        <w:tc>
          <w:tcPr>
            <w:tcW w:w="109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26AF8" w:rsidRPr="002D3F9F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Mensual</w:t>
            </w:r>
          </w:p>
        </w:tc>
      </w:tr>
      <w:tr w:rsidR="00226AF8" w:rsidRPr="002D3F9F" w:rsidTr="009F2ACD">
        <w:tc>
          <w:tcPr>
            <w:tcW w:w="19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26AF8" w:rsidRPr="002D3F9F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2D3F9F">
              <w:rPr>
                <w:rFonts w:ascii="Futura Lt BT" w:hAnsi="Futura Lt BT" w:cs="ChollaWide"/>
                <w:color w:val="231F20"/>
                <w:sz w:val="24"/>
                <w:szCs w:val="24"/>
              </w:rPr>
              <w:t>Oportunidad</w:t>
            </w:r>
          </w:p>
        </w:tc>
        <w:tc>
          <w:tcPr>
            <w:tcW w:w="109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26AF8" w:rsidRPr="000102FB" w:rsidRDefault="00226AF8" w:rsidP="00226AF8">
            <w:pPr>
              <w:adjustRightInd w:val="0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0102FB">
              <w:rPr>
                <w:rFonts w:ascii="Futura Lt BT" w:hAnsi="Futura Lt BT" w:cs="ChollaWide"/>
                <w:color w:val="231F20"/>
                <w:sz w:val="24"/>
                <w:szCs w:val="24"/>
              </w:rPr>
              <w:t>De 2 a 1</w:t>
            </w:r>
            <w:r w:rsidR="00A53E17" w:rsidRPr="000102FB">
              <w:rPr>
                <w:rFonts w:ascii="Futura Lt BT" w:hAnsi="Futura Lt BT" w:cs="ChollaWide"/>
                <w:color w:val="231F20"/>
                <w:sz w:val="24"/>
                <w:szCs w:val="24"/>
              </w:rPr>
              <w:t>2</w:t>
            </w:r>
            <w:r w:rsidRPr="000102FB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 días luego de concluido el mes</w:t>
            </w:r>
          </w:p>
        </w:tc>
      </w:tr>
      <w:tr w:rsidR="00226AF8" w:rsidRPr="002D3F9F" w:rsidTr="009F2ACD">
        <w:tc>
          <w:tcPr>
            <w:tcW w:w="19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226AF8" w:rsidRPr="002D3F9F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Revisión </w:t>
            </w:r>
          </w:p>
        </w:tc>
        <w:tc>
          <w:tcPr>
            <w:tcW w:w="109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226AF8" w:rsidRPr="002D3F9F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El dato publicado es definitivo</w:t>
            </w:r>
          </w:p>
        </w:tc>
      </w:tr>
      <w:tr w:rsidR="00226AF8" w:rsidRPr="002D3F9F" w:rsidTr="009F2ACD">
        <w:tc>
          <w:tcPr>
            <w:tcW w:w="19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226AF8" w:rsidRPr="002D3F9F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2D3F9F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Fuente </w:t>
            </w: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primaria </w:t>
            </w:r>
            <w:r w:rsidRPr="002D3F9F">
              <w:rPr>
                <w:rFonts w:ascii="Futura Lt BT" w:hAnsi="Futura Lt BT" w:cs="ChollaWide"/>
                <w:color w:val="231F20"/>
                <w:sz w:val="24"/>
                <w:szCs w:val="24"/>
              </w:rPr>
              <w:t>de información</w:t>
            </w:r>
          </w:p>
        </w:tc>
        <w:tc>
          <w:tcPr>
            <w:tcW w:w="109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FE61B0" w:rsidRDefault="00A53E17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Banco Central</w:t>
            </w:r>
            <w:r w:rsidR="00FE61B0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 de Costa Rica</w:t>
            </w:r>
          </w:p>
          <w:p w:rsidR="00FE61B0" w:rsidRDefault="00FE61B0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Banco de Guatemala</w:t>
            </w:r>
          </w:p>
          <w:p w:rsidR="00226AF8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Banco</w:t>
            </w:r>
            <w:r w:rsidR="00FE61B0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 Central de Honduras</w:t>
            </w:r>
          </w:p>
          <w:p w:rsidR="00FE61B0" w:rsidRPr="002D3F9F" w:rsidRDefault="00FE61B0" w:rsidP="00A53E17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Banco Central de la República Dominicana</w:t>
            </w:r>
          </w:p>
        </w:tc>
      </w:tr>
      <w:tr w:rsidR="00226AF8" w:rsidRPr="002D3F9F" w:rsidTr="009F2ACD">
        <w:tc>
          <w:tcPr>
            <w:tcW w:w="19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226AF8" w:rsidRPr="002D3F9F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Acceso a los datos</w:t>
            </w:r>
          </w:p>
        </w:tc>
        <w:tc>
          <w:tcPr>
            <w:tcW w:w="109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226AF8" w:rsidRDefault="00D77317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Series estadísticas pueden ser descargadas desde SECMCA DATOS en formatos CSV y XLS. La información es divulgada para todos los usuarios al mismo tiempo.</w:t>
            </w:r>
          </w:p>
        </w:tc>
      </w:tr>
      <w:tr w:rsidR="00226AF8" w:rsidRPr="002D3F9F" w:rsidTr="009F2ACD">
        <w:tc>
          <w:tcPr>
            <w:tcW w:w="19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26AF8" w:rsidRPr="002D3F9F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Notas</w:t>
            </w:r>
            <w:r w:rsidRPr="002D3F9F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 por país</w:t>
            </w:r>
          </w:p>
        </w:tc>
        <w:tc>
          <w:tcPr>
            <w:tcW w:w="109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A53E17" w:rsidRPr="00D65A4A" w:rsidRDefault="00D77317" w:rsidP="00061F3E">
            <w:pPr>
              <w:spacing w:after="0" w:line="240" w:lineRule="auto"/>
              <w:jc w:val="both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D77317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En </w:t>
            </w:r>
            <w:r w:rsidR="00D65A4A" w:rsidRPr="000102FB"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  <w:t>Costa Rica</w:t>
            </w:r>
            <w:r w:rsidR="00D65A4A" w:rsidRPr="00D65A4A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 se obtiene de la “Encuesta mensual de expectativas de inflación y de variación del tipo de cambio”.  La encuesta está a dirigida a consultores (los inscritos en el colegio de profesionales; analistas bursátiles y financieros (inscritos en la Bolsa Nacional de Valores); académicos (profesores e investigadores de las universidades públicas y privadas); y empresarios (se selecciona la empresa y luego el informante que usualmente corresponde al gerente general, financiero, entre otros).</w:t>
            </w:r>
          </w:p>
          <w:p w:rsidR="00D65A4A" w:rsidRPr="00D65A4A" w:rsidRDefault="00D77317" w:rsidP="00D65A4A">
            <w:pPr>
              <w:spacing w:after="0" w:line="253" w:lineRule="atLeast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D77317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En </w:t>
            </w:r>
            <w:r w:rsidR="00D65A4A" w:rsidRPr="000102FB"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  <w:t>Guatemala</w:t>
            </w:r>
            <w:r w:rsidR="00D65A4A" w:rsidRPr="00D65A4A">
              <w:rPr>
                <w:rFonts w:ascii="Futura Lt BT" w:hAnsi="Futura Lt BT" w:cs="ChollaWide"/>
                <w:color w:val="231F20"/>
                <w:sz w:val="24"/>
                <w:szCs w:val="24"/>
              </w:rPr>
              <w:t> se obtiene de la “Encuesta de Expectativas Económicas al Panel de Analistas Privados” (EEE). Se realiza entre la segunda y cuarta semana de cada mes a un grupo de especialistas nacionales, con el objetivo de conocer su percepción respecto de la trayectoria futura de algunas variables macroeconómicas relevantes.</w:t>
            </w:r>
          </w:p>
          <w:p w:rsidR="00D65A4A" w:rsidRPr="00D65A4A" w:rsidRDefault="00D77317" w:rsidP="00D65A4A">
            <w:pPr>
              <w:spacing w:after="0" w:line="253" w:lineRule="atLeast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D77317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En </w:t>
            </w:r>
            <w:r w:rsidR="00D65A4A" w:rsidRPr="000102FB"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  <w:t>Honduras</w:t>
            </w:r>
            <w:r w:rsidR="00D65A4A" w:rsidRPr="00D65A4A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 se obtiene de la “Encuesta de Expectativas de Analistas Macroeconómicos” (EEAM). Está dirigida a un grupo de profesionales calificados en la materia, a quienes se les consulta sobre sus perspectivas, de corto y mediano plazo, respecto a variables relacionadas con el desenvolvimiento de la economía del país.</w:t>
            </w:r>
          </w:p>
          <w:p w:rsidR="00A53E17" w:rsidRPr="00D65A4A" w:rsidRDefault="00D77317" w:rsidP="00D65A4A">
            <w:pPr>
              <w:spacing w:after="0" w:line="253" w:lineRule="atLeast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D77317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En </w:t>
            </w:r>
            <w:r w:rsidR="00D65A4A" w:rsidRPr="00D77317"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  <w:t>República Dominicana</w:t>
            </w:r>
            <w:r w:rsidR="00D65A4A" w:rsidRPr="00D65A4A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 se obtiene de la “Encuesta de Expectativas Macroeconómicas” (EEM).  Se aplica a profesionales en el área económica, con el objetivo de recabar información sobre las expectativas de los agentes macroeconómicos en torno a variables tales como el crecimiento del PIB y la inflación. Los datos </w:t>
            </w:r>
            <w:r w:rsidR="00D65A4A" w:rsidRPr="00D65A4A">
              <w:rPr>
                <w:rFonts w:ascii="Futura Lt BT" w:hAnsi="Futura Lt BT" w:cs="ChollaWide"/>
                <w:color w:val="231F20"/>
                <w:sz w:val="24"/>
                <w:szCs w:val="24"/>
              </w:rPr>
              <w:lastRenderedPageBreak/>
              <w:t>del panel de analistas de la EEM ofrecen información sobre las expectativas de inflación de 12 y 24 meses hacia delante.</w:t>
            </w:r>
          </w:p>
        </w:tc>
      </w:tr>
      <w:tr w:rsidR="00226AF8" w:rsidRPr="00246279" w:rsidTr="009F2ACD">
        <w:tc>
          <w:tcPr>
            <w:tcW w:w="1287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</w:tcPr>
          <w:p w:rsidR="00226AF8" w:rsidRPr="00246279" w:rsidRDefault="00226AF8" w:rsidP="00226AF8">
            <w:pPr>
              <w:adjustRightInd w:val="0"/>
              <w:spacing w:after="0" w:line="360" w:lineRule="auto"/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</w:pPr>
            <w:r w:rsidRPr="00246279">
              <w:rPr>
                <w:rFonts w:ascii="Futura Lt BT" w:hAnsi="Futura Lt BT" w:cs="ChollaWide"/>
                <w:b/>
                <w:color w:val="231F20"/>
                <w:sz w:val="24"/>
                <w:szCs w:val="24"/>
              </w:rPr>
              <w:lastRenderedPageBreak/>
              <w:t>COMPARACIÓN ENTRE PAÍSES Y CÁLCULO REGIONAL</w:t>
            </w:r>
          </w:p>
        </w:tc>
      </w:tr>
      <w:tr w:rsidR="00226AF8" w:rsidRPr="002D3F9F" w:rsidTr="009F2ACD">
        <w:tc>
          <w:tcPr>
            <w:tcW w:w="19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226AF8" w:rsidRPr="002D3F9F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Comparabilidad regional</w:t>
            </w:r>
          </w:p>
        </w:tc>
        <w:tc>
          <w:tcPr>
            <w:tcW w:w="109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226AF8" w:rsidRPr="002D3F9F" w:rsidRDefault="00FE5E29" w:rsidP="00FE5E29">
            <w:pPr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0102FB">
              <w:rPr>
                <w:rFonts w:ascii="Futura Lt BT" w:hAnsi="Futura Lt BT"/>
                <w:color w:val="000000"/>
                <w:sz w:val="24"/>
                <w:szCs w:val="24"/>
              </w:rPr>
              <w:t>Son series comparables en la región.</w:t>
            </w:r>
            <w:r w:rsidR="00A53E17">
              <w:rPr>
                <w:rFonts w:ascii="Futura Lt BT" w:hAnsi="Futura Lt BT" w:cs="ChollaWide"/>
                <w:color w:val="231F20"/>
                <w:sz w:val="24"/>
                <w:szCs w:val="24"/>
              </w:rPr>
              <w:t xml:space="preserve"> </w:t>
            </w:r>
          </w:p>
        </w:tc>
      </w:tr>
      <w:tr w:rsidR="00226AF8" w:rsidRPr="002D3F9F" w:rsidTr="009F2ACD">
        <w:tc>
          <w:tcPr>
            <w:tcW w:w="19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26AF8" w:rsidRPr="002D3F9F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 w:rsidRPr="002D3F9F">
              <w:rPr>
                <w:rFonts w:ascii="Futura Lt BT" w:hAnsi="Futura Lt BT" w:cs="ChollaWide"/>
                <w:color w:val="231F20"/>
                <w:sz w:val="24"/>
                <w:szCs w:val="24"/>
              </w:rPr>
              <w:t>C</w:t>
            </w: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álculo regional</w:t>
            </w:r>
          </w:p>
        </w:tc>
        <w:tc>
          <w:tcPr>
            <w:tcW w:w="109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26AF8" w:rsidRPr="002D3F9F" w:rsidRDefault="000102FB" w:rsidP="005C5B18">
            <w:pPr>
              <w:spacing w:after="0" w:line="240" w:lineRule="auto"/>
              <w:rPr>
                <w:rFonts w:ascii="Futura Lt BT" w:hAnsi="Futura Lt BT"/>
                <w:color w:val="000000"/>
                <w:sz w:val="24"/>
                <w:szCs w:val="24"/>
              </w:rPr>
            </w:pPr>
            <w:r w:rsidRPr="000102FB">
              <w:rPr>
                <w:rFonts w:ascii="Futura Lt BT" w:hAnsi="Futura Lt BT"/>
                <w:color w:val="000000"/>
                <w:sz w:val="24"/>
                <w:szCs w:val="24"/>
              </w:rPr>
              <w:t>No se publica un cálculo regional para este indicador.</w:t>
            </w:r>
          </w:p>
        </w:tc>
      </w:tr>
      <w:tr w:rsidR="00226AF8" w:rsidRPr="002D3F9F" w:rsidTr="009F2ACD">
        <w:tc>
          <w:tcPr>
            <w:tcW w:w="19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26AF8" w:rsidRPr="002D3F9F" w:rsidRDefault="00226AF8" w:rsidP="00226AF8">
            <w:pPr>
              <w:adjustRightInd w:val="0"/>
              <w:spacing w:after="0" w:line="240" w:lineRule="auto"/>
              <w:rPr>
                <w:rFonts w:ascii="Futura Lt BT" w:hAnsi="Futura Lt BT" w:cs="ChollaWide"/>
                <w:color w:val="231F20"/>
                <w:sz w:val="24"/>
                <w:szCs w:val="24"/>
              </w:rPr>
            </w:pPr>
            <w:r>
              <w:rPr>
                <w:rFonts w:ascii="Futura Lt BT" w:hAnsi="Futura Lt BT" w:cs="ChollaWide"/>
                <w:color w:val="231F20"/>
                <w:sz w:val="24"/>
                <w:szCs w:val="24"/>
              </w:rPr>
              <w:t>Fuente datos regionales</w:t>
            </w:r>
          </w:p>
        </w:tc>
        <w:tc>
          <w:tcPr>
            <w:tcW w:w="109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26AF8" w:rsidRPr="002D3F9F" w:rsidRDefault="00D77317" w:rsidP="00226AF8">
            <w:pPr>
              <w:spacing w:after="0" w:line="240" w:lineRule="auto"/>
              <w:rPr>
                <w:rFonts w:ascii="Futura Lt BT" w:eastAsia="Times New Roman" w:hAnsi="Futura Lt BT" w:cs="Calibri"/>
                <w:sz w:val="24"/>
                <w:szCs w:val="24"/>
                <w:lang w:eastAsia="es-CR"/>
              </w:rPr>
            </w:pPr>
            <w:r>
              <w:rPr>
                <w:rFonts w:ascii="Futura Lt BT" w:eastAsia="Times New Roman" w:hAnsi="Futura Lt BT" w:cs="Calibri"/>
                <w:sz w:val="24"/>
                <w:szCs w:val="24"/>
                <w:lang w:eastAsia="es-CR"/>
              </w:rPr>
              <w:t>No corresponde.</w:t>
            </w:r>
          </w:p>
        </w:tc>
      </w:tr>
      <w:tr w:rsidR="00226AF8" w:rsidRPr="002D3F9F" w:rsidTr="009F2ACD">
        <w:tc>
          <w:tcPr>
            <w:tcW w:w="1287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26AF8" w:rsidRPr="002D3F9F" w:rsidRDefault="00226AF8" w:rsidP="00226AF8">
            <w:pPr>
              <w:spacing w:after="0" w:line="240" w:lineRule="auto"/>
              <w:rPr>
                <w:rFonts w:ascii="Futura Lt BT" w:eastAsia="Times New Roman" w:hAnsi="Futura Lt BT" w:cs="Calibri"/>
                <w:sz w:val="24"/>
                <w:szCs w:val="24"/>
                <w:lang w:eastAsia="es-CR"/>
              </w:rPr>
            </w:pPr>
          </w:p>
        </w:tc>
      </w:tr>
    </w:tbl>
    <w:p w:rsidR="000A51A5" w:rsidRDefault="000A51A5">
      <w:pPr>
        <w:rPr>
          <w:rFonts w:ascii="Futura Lt BT" w:hAnsi="Futura Lt BT"/>
          <w:sz w:val="24"/>
          <w:szCs w:val="24"/>
        </w:rPr>
      </w:pPr>
    </w:p>
    <w:p w:rsidR="00467D27" w:rsidRDefault="00467D27">
      <w:pPr>
        <w:spacing w:after="0" w:line="240" w:lineRule="auto"/>
        <w:rPr>
          <w:rFonts w:ascii="Futura Lt BT" w:hAnsi="Futura Lt BT"/>
          <w:sz w:val="24"/>
          <w:szCs w:val="24"/>
        </w:rPr>
      </w:pPr>
    </w:p>
    <w:sectPr w:rsidR="00467D27">
      <w:headerReference w:type="default" r:id="rId9"/>
      <w:pgSz w:w="15840" w:h="12240" w:orient="landscape"/>
      <w:pgMar w:top="1701" w:right="1417" w:bottom="1701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F48" w:rsidRDefault="00DC2F48" w:rsidP="00DC2F48">
      <w:pPr>
        <w:spacing w:after="0" w:line="240" w:lineRule="auto"/>
      </w:pPr>
      <w:r>
        <w:separator/>
      </w:r>
    </w:p>
  </w:endnote>
  <w:endnote w:type="continuationSeparator" w:id="0">
    <w:p w:rsidR="00DC2F48" w:rsidRDefault="00DC2F48" w:rsidP="00DC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ollaWi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F48" w:rsidRDefault="00DC2F48" w:rsidP="00DC2F48">
      <w:pPr>
        <w:spacing w:after="0" w:line="240" w:lineRule="auto"/>
      </w:pPr>
      <w:r>
        <w:separator/>
      </w:r>
    </w:p>
  </w:footnote>
  <w:footnote w:type="continuationSeparator" w:id="0">
    <w:p w:rsidR="00DC2F48" w:rsidRDefault="00DC2F48" w:rsidP="00DC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F48" w:rsidRDefault="00DC2F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A15"/>
    <w:multiLevelType w:val="hybridMultilevel"/>
    <w:tmpl w:val="BCD4C03A"/>
    <w:lvl w:ilvl="0" w:tplc="B72CA94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F1A95"/>
    <w:multiLevelType w:val="hybridMultilevel"/>
    <w:tmpl w:val="571C3AC2"/>
    <w:lvl w:ilvl="0" w:tplc="D35E68B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7E743B"/>
    <w:multiLevelType w:val="hybridMultilevel"/>
    <w:tmpl w:val="45BE20C6"/>
    <w:lvl w:ilvl="0" w:tplc="A03C85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17"/>
    <w:rsid w:val="000102FB"/>
    <w:rsid w:val="00061F3E"/>
    <w:rsid w:val="000A51A5"/>
    <w:rsid w:val="00195EC2"/>
    <w:rsid w:val="001E3779"/>
    <w:rsid w:val="001F0E9A"/>
    <w:rsid w:val="00226AF8"/>
    <w:rsid w:val="00246279"/>
    <w:rsid w:val="002811E6"/>
    <w:rsid w:val="002D3F9F"/>
    <w:rsid w:val="002F29BE"/>
    <w:rsid w:val="003512BE"/>
    <w:rsid w:val="00375E85"/>
    <w:rsid w:val="00437CE4"/>
    <w:rsid w:val="0046629F"/>
    <w:rsid w:val="00467D27"/>
    <w:rsid w:val="00477AD7"/>
    <w:rsid w:val="00514E88"/>
    <w:rsid w:val="005C5B18"/>
    <w:rsid w:val="005F79A7"/>
    <w:rsid w:val="00645DF4"/>
    <w:rsid w:val="00714A2F"/>
    <w:rsid w:val="00782F78"/>
    <w:rsid w:val="00831DC6"/>
    <w:rsid w:val="00883242"/>
    <w:rsid w:val="009135C6"/>
    <w:rsid w:val="0091677E"/>
    <w:rsid w:val="00916A11"/>
    <w:rsid w:val="009554B2"/>
    <w:rsid w:val="00990DBF"/>
    <w:rsid w:val="009C5518"/>
    <w:rsid w:val="009F2ACD"/>
    <w:rsid w:val="009F3C6E"/>
    <w:rsid w:val="00A207D0"/>
    <w:rsid w:val="00A34543"/>
    <w:rsid w:val="00A53E17"/>
    <w:rsid w:val="00AB1636"/>
    <w:rsid w:val="00AE46ED"/>
    <w:rsid w:val="00B004D7"/>
    <w:rsid w:val="00B219D9"/>
    <w:rsid w:val="00BB5117"/>
    <w:rsid w:val="00C4607B"/>
    <w:rsid w:val="00C717FE"/>
    <w:rsid w:val="00C811AB"/>
    <w:rsid w:val="00CB5F9F"/>
    <w:rsid w:val="00D15052"/>
    <w:rsid w:val="00D65A4A"/>
    <w:rsid w:val="00D77317"/>
    <w:rsid w:val="00DC2F48"/>
    <w:rsid w:val="00E40452"/>
    <w:rsid w:val="00F15BA8"/>
    <w:rsid w:val="00FE5E29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CB66F8"/>
  <w15:chartTrackingRefBased/>
  <w15:docId w15:val="{3DD753B0-217D-4C89-A987-D32C1477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C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Estilo20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Pr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stilo111">
    <w:name w:val="Estilo111"/>
    <w:basedOn w:val="Tablanormal"/>
    <w:uiPriority w:val="99"/>
    <w:qFormat/>
    <w:rPr>
      <w:sz w:val="22"/>
      <w:szCs w:val="22"/>
    </w:rPr>
    <w:tblPr>
      <w:tblInd w:w="0" w:type="nil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EEECE1" w:themeFill="background2"/>
    </w:tcPr>
  </w:style>
  <w:style w:type="character" w:customStyle="1" w:styleId="apple-converted-space">
    <w:name w:val="apple-converted-space"/>
    <w:basedOn w:val="Fuentedeprrafopredeter"/>
    <w:rsid w:val="00916A11"/>
  </w:style>
  <w:style w:type="paragraph" w:styleId="Textodeglobo">
    <w:name w:val="Balloon Text"/>
    <w:basedOn w:val="Normal"/>
    <w:link w:val="TextodegloboCar"/>
    <w:uiPriority w:val="99"/>
    <w:semiHidden/>
    <w:unhideWhenUsed/>
    <w:rsid w:val="00AB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6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C2F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F4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C2F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F4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448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plizano</dc:creator>
  <cp:keywords/>
  <dc:description/>
  <cp:lastModifiedBy>Sandra Hernandez</cp:lastModifiedBy>
  <cp:revision>16</cp:revision>
  <dcterms:created xsi:type="dcterms:W3CDTF">2019-10-29T22:56:00Z</dcterms:created>
  <dcterms:modified xsi:type="dcterms:W3CDTF">2020-03-05T20:18:00Z</dcterms:modified>
</cp:coreProperties>
</file>