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ACD97" w14:textId="3AC152AA" w:rsidR="00184E8D" w:rsidRPr="00781781" w:rsidRDefault="00184E8D" w:rsidP="00F2576C">
      <w:pPr>
        <w:pStyle w:val="Body"/>
        <w:spacing w:after="0" w:line="240" w:lineRule="auto"/>
        <w:jc w:val="center"/>
        <w:rPr>
          <w:rFonts w:ascii="Futura Lt BT" w:eastAsia="Futura Lt BT" w:hAnsi="Futura Lt BT" w:cs="Futura Lt BT"/>
          <w:b/>
          <w:bCs/>
          <w:sz w:val="23"/>
          <w:szCs w:val="23"/>
          <w:lang w:val="es-CR"/>
        </w:rPr>
      </w:pPr>
      <w:bookmarkStart w:id="0" w:name="_GoBack"/>
      <w:bookmarkEnd w:id="0"/>
    </w:p>
    <w:p w14:paraId="0B4DF280" w14:textId="23061454" w:rsidR="00A540EF" w:rsidRPr="00781781" w:rsidRDefault="00A540EF" w:rsidP="00F2576C">
      <w:pPr>
        <w:pStyle w:val="Body"/>
        <w:spacing w:after="0" w:line="240" w:lineRule="auto"/>
        <w:jc w:val="center"/>
        <w:rPr>
          <w:rFonts w:ascii="Futura Lt BT" w:eastAsia="Futura Lt BT" w:hAnsi="Futura Lt BT" w:cs="Futura Lt BT"/>
          <w:b/>
          <w:bCs/>
          <w:sz w:val="23"/>
          <w:szCs w:val="23"/>
          <w:lang w:val="es-CR"/>
        </w:rPr>
      </w:pPr>
    </w:p>
    <w:p w14:paraId="485CC768" w14:textId="5324D8C0" w:rsidR="00184E8D" w:rsidRPr="00781781" w:rsidRDefault="0061102B" w:rsidP="00F2576C">
      <w:pPr>
        <w:pStyle w:val="Body"/>
        <w:spacing w:after="0" w:line="240" w:lineRule="auto"/>
        <w:jc w:val="center"/>
        <w:rPr>
          <w:rFonts w:ascii="Futura Lt BT" w:eastAsia="Futura Lt BT" w:hAnsi="Futura Lt BT" w:cs="Futura Lt BT"/>
          <w:b/>
          <w:bCs/>
          <w:sz w:val="23"/>
          <w:szCs w:val="23"/>
          <w:lang w:val="es-CR"/>
        </w:rPr>
      </w:pPr>
      <w:r w:rsidRPr="00781781">
        <w:rPr>
          <w:rFonts w:ascii="Futura Lt BT" w:eastAsia="Futura Lt BT" w:hAnsi="Futura Lt BT" w:cs="Futura Lt BT"/>
          <w:b/>
          <w:bCs/>
          <w:sz w:val="23"/>
          <w:szCs w:val="23"/>
          <w:lang w:val="es-CR"/>
        </w:rPr>
        <w:t xml:space="preserve">ACTA DE LA </w:t>
      </w:r>
      <w:r w:rsidR="000239F9" w:rsidRPr="00781781">
        <w:rPr>
          <w:rFonts w:ascii="Futura Lt BT" w:eastAsia="Futura Lt BT" w:hAnsi="Futura Lt BT" w:cs="Futura Lt BT"/>
          <w:b/>
          <w:bCs/>
          <w:sz w:val="23"/>
          <w:szCs w:val="23"/>
          <w:lang w:val="es-CR"/>
        </w:rPr>
        <w:t>29</w:t>
      </w:r>
      <w:r w:rsidR="0002765D" w:rsidRPr="00781781">
        <w:rPr>
          <w:rFonts w:ascii="Futura Lt BT" w:eastAsia="Futura Lt BT" w:hAnsi="Futura Lt BT" w:cs="Futura Lt BT"/>
          <w:b/>
          <w:bCs/>
          <w:sz w:val="23"/>
          <w:szCs w:val="23"/>
          <w:lang w:val="es-CR"/>
        </w:rPr>
        <w:t>1</w:t>
      </w:r>
      <w:r w:rsidR="000239F9" w:rsidRPr="00781781">
        <w:rPr>
          <w:rFonts w:ascii="Futura Lt BT" w:eastAsia="Futura Lt BT" w:hAnsi="Futura Lt BT" w:cs="Futura Lt BT"/>
          <w:b/>
          <w:bCs/>
          <w:sz w:val="23"/>
          <w:szCs w:val="23"/>
          <w:lang w:val="es-CR"/>
        </w:rPr>
        <w:t xml:space="preserve">ª </w:t>
      </w:r>
      <w:r w:rsidRPr="00781781">
        <w:rPr>
          <w:rFonts w:ascii="Futura Lt BT" w:eastAsia="Futura Lt BT" w:hAnsi="Futura Lt BT" w:cs="Futura Lt BT"/>
          <w:b/>
          <w:bCs/>
          <w:sz w:val="23"/>
          <w:szCs w:val="23"/>
          <w:lang w:val="es-CR"/>
        </w:rPr>
        <w:t xml:space="preserve">REUNIÓN </w:t>
      </w:r>
      <w:r w:rsidR="00231894" w:rsidRPr="00781781">
        <w:rPr>
          <w:rFonts w:ascii="Futura Lt BT" w:eastAsia="Futura Lt BT" w:hAnsi="Futura Lt BT" w:cs="Futura Lt BT"/>
          <w:b/>
          <w:bCs/>
          <w:sz w:val="23"/>
          <w:szCs w:val="23"/>
          <w:lang w:val="es-CR"/>
        </w:rPr>
        <w:t xml:space="preserve">ORDINARIA </w:t>
      </w:r>
      <w:r w:rsidRPr="00781781">
        <w:rPr>
          <w:rFonts w:ascii="Futura Lt BT" w:eastAsia="Futura Lt BT" w:hAnsi="Futura Lt BT" w:cs="Futura Lt BT"/>
          <w:b/>
          <w:bCs/>
          <w:sz w:val="23"/>
          <w:szCs w:val="23"/>
          <w:lang w:val="es-CR"/>
        </w:rPr>
        <w:t>DEL</w:t>
      </w:r>
    </w:p>
    <w:p w14:paraId="2A5AAF62" w14:textId="77777777" w:rsidR="00723C35" w:rsidRPr="00781781" w:rsidRDefault="0061102B" w:rsidP="00F2576C">
      <w:pPr>
        <w:pStyle w:val="Body"/>
        <w:spacing w:after="0" w:line="240" w:lineRule="auto"/>
        <w:jc w:val="center"/>
        <w:rPr>
          <w:rFonts w:ascii="Futura Lt BT" w:eastAsia="Futura Lt BT" w:hAnsi="Futura Lt BT" w:cs="Futura Lt BT"/>
          <w:b/>
          <w:bCs/>
          <w:sz w:val="23"/>
          <w:szCs w:val="23"/>
          <w:lang w:val="es-CR"/>
        </w:rPr>
      </w:pPr>
      <w:r w:rsidRPr="00781781">
        <w:rPr>
          <w:rFonts w:ascii="Futura Lt BT" w:eastAsia="Futura Lt BT" w:hAnsi="Futura Lt BT" w:cs="Futura Lt BT"/>
          <w:b/>
          <w:bCs/>
          <w:sz w:val="23"/>
          <w:szCs w:val="23"/>
          <w:lang w:val="es-CR"/>
        </w:rPr>
        <w:t>CONSEJO MONETARIO CENTROAMERICANO</w:t>
      </w:r>
      <w:r w:rsidR="00723C35" w:rsidRPr="00781781">
        <w:rPr>
          <w:rFonts w:ascii="Futura Lt BT" w:eastAsia="Futura Lt BT" w:hAnsi="Futura Lt BT" w:cs="Futura Lt BT"/>
          <w:b/>
          <w:bCs/>
          <w:sz w:val="23"/>
          <w:szCs w:val="23"/>
          <w:lang w:val="es-CR"/>
        </w:rPr>
        <w:t xml:space="preserve"> </w:t>
      </w:r>
    </w:p>
    <w:p w14:paraId="74070AD4" w14:textId="77777777" w:rsidR="00184E8D" w:rsidRPr="00781781" w:rsidRDefault="00723C35" w:rsidP="00F2576C">
      <w:pPr>
        <w:pStyle w:val="Body"/>
        <w:spacing w:after="0" w:line="240" w:lineRule="auto"/>
        <w:jc w:val="center"/>
        <w:rPr>
          <w:rFonts w:ascii="Futura Lt BT" w:eastAsia="Futura Lt BT" w:hAnsi="Futura Lt BT" w:cs="Futura Lt BT"/>
          <w:b/>
          <w:bCs/>
          <w:sz w:val="23"/>
          <w:szCs w:val="23"/>
          <w:lang w:val="es-CR"/>
        </w:rPr>
      </w:pPr>
      <w:r w:rsidRPr="00781781">
        <w:rPr>
          <w:rFonts w:ascii="Futura Lt BT" w:eastAsia="Futura Lt BT" w:hAnsi="Futura Lt BT" w:cs="Futura Lt BT"/>
          <w:b/>
          <w:bCs/>
          <w:sz w:val="23"/>
          <w:szCs w:val="23"/>
          <w:lang w:val="es-CR"/>
        </w:rPr>
        <w:t>(</w:t>
      </w:r>
      <w:r w:rsidR="00DA365E" w:rsidRPr="00781781">
        <w:rPr>
          <w:rFonts w:ascii="Futura Lt BT" w:eastAsia="Futura Lt BT" w:hAnsi="Futura Lt BT" w:cs="Futura Lt BT"/>
          <w:b/>
          <w:bCs/>
          <w:sz w:val="23"/>
          <w:szCs w:val="23"/>
          <w:lang w:val="es-CR"/>
        </w:rPr>
        <w:t>VIRTUAL</w:t>
      </w:r>
      <w:r w:rsidRPr="00781781">
        <w:rPr>
          <w:rFonts w:ascii="Futura Lt BT" w:eastAsia="Futura Lt BT" w:hAnsi="Futura Lt BT" w:cs="Futura Lt BT"/>
          <w:b/>
          <w:bCs/>
          <w:sz w:val="23"/>
          <w:szCs w:val="23"/>
          <w:lang w:val="es-CR"/>
        </w:rPr>
        <w:t>)</w:t>
      </w:r>
    </w:p>
    <w:p w14:paraId="40E65448" w14:textId="77777777" w:rsidR="00571DD9" w:rsidRDefault="00571DD9" w:rsidP="00F2576C">
      <w:pPr>
        <w:pStyle w:val="Body"/>
        <w:spacing w:before="100" w:after="100" w:line="240" w:lineRule="auto"/>
        <w:ind w:firstLine="709"/>
        <w:jc w:val="both"/>
        <w:rPr>
          <w:rFonts w:ascii="Futura Lt BT" w:eastAsia="Futura Lt BT" w:hAnsi="Futura Lt BT" w:cs="Futura Lt BT"/>
          <w:sz w:val="23"/>
          <w:szCs w:val="23"/>
          <w:lang w:val="es-CR"/>
        </w:rPr>
      </w:pPr>
    </w:p>
    <w:p w14:paraId="62151A5D" w14:textId="7E0EBAFA" w:rsidR="00184E8D" w:rsidRPr="00CA4E1B" w:rsidRDefault="0061102B" w:rsidP="00F2576C">
      <w:pPr>
        <w:pStyle w:val="Body"/>
        <w:spacing w:before="100" w:after="100" w:line="240" w:lineRule="auto"/>
        <w:ind w:firstLine="709"/>
        <w:jc w:val="both"/>
        <w:rPr>
          <w:rFonts w:ascii="Futura Lt BT" w:eastAsia="Futura Lt BT" w:hAnsi="Futura Lt BT" w:cs="Futura Lt BT"/>
          <w:lang w:val="es-CR"/>
        </w:rPr>
      </w:pPr>
      <w:r w:rsidRPr="00CA4E1B">
        <w:rPr>
          <w:rFonts w:ascii="Futura Lt BT" w:eastAsia="Futura Lt BT" w:hAnsi="Futura Lt BT" w:cs="Futura Lt BT"/>
          <w:lang w:val="es-CR"/>
        </w:rPr>
        <w:t>El Consejo Monetario Centroamericano (CMCA) realizó su 2</w:t>
      </w:r>
      <w:r w:rsidR="00723C35" w:rsidRPr="00CA4E1B">
        <w:rPr>
          <w:rFonts w:ascii="Futura Lt BT" w:eastAsia="Futura Lt BT" w:hAnsi="Futura Lt BT" w:cs="Futura Lt BT"/>
          <w:lang w:val="es-CR"/>
        </w:rPr>
        <w:t>9</w:t>
      </w:r>
      <w:r w:rsidR="0002765D" w:rsidRPr="00CA4E1B">
        <w:rPr>
          <w:rFonts w:ascii="Futura Lt BT" w:eastAsia="Futura Lt BT" w:hAnsi="Futura Lt BT" w:cs="Futura Lt BT"/>
          <w:lang w:val="es-CR"/>
        </w:rPr>
        <w:t>1</w:t>
      </w:r>
      <w:r w:rsidRPr="00CA4E1B">
        <w:rPr>
          <w:rFonts w:ascii="Futura Lt BT" w:eastAsia="Futura Lt BT" w:hAnsi="Futura Lt BT" w:cs="Futura Lt BT"/>
          <w:lang w:val="es-CR"/>
        </w:rPr>
        <w:t xml:space="preserve">ª Reunión </w:t>
      </w:r>
      <w:r w:rsidR="00231894" w:rsidRPr="00CA4E1B">
        <w:rPr>
          <w:rFonts w:ascii="Futura Lt BT" w:eastAsia="Futura Lt BT" w:hAnsi="Futura Lt BT" w:cs="Futura Lt BT"/>
          <w:lang w:val="es-CR"/>
        </w:rPr>
        <w:t xml:space="preserve">ordinaria </w:t>
      </w:r>
      <w:r w:rsidR="00723C35" w:rsidRPr="00CA4E1B">
        <w:rPr>
          <w:rFonts w:ascii="Futura Lt BT" w:eastAsia="Futura Lt BT" w:hAnsi="Futura Lt BT" w:cs="Futura Lt BT"/>
          <w:lang w:val="es-CR"/>
        </w:rPr>
        <w:t xml:space="preserve">el </w:t>
      </w:r>
      <w:r w:rsidR="0002765D" w:rsidRPr="00CA4E1B">
        <w:rPr>
          <w:rFonts w:ascii="Futura Lt BT" w:eastAsia="Futura Lt BT" w:hAnsi="Futura Lt BT" w:cs="Futura Lt BT"/>
          <w:lang w:val="es-CR"/>
        </w:rPr>
        <w:t>5</w:t>
      </w:r>
      <w:r w:rsidR="00723C35" w:rsidRPr="00CA4E1B">
        <w:rPr>
          <w:rFonts w:ascii="Futura Lt BT" w:eastAsia="Futura Lt BT" w:hAnsi="Futura Lt BT" w:cs="Futura Lt BT"/>
          <w:lang w:val="es-CR"/>
        </w:rPr>
        <w:t xml:space="preserve"> de </w:t>
      </w:r>
      <w:r w:rsidR="0002765D" w:rsidRPr="00CA4E1B">
        <w:rPr>
          <w:rFonts w:ascii="Futura Lt BT" w:eastAsia="Futura Lt BT" w:hAnsi="Futura Lt BT" w:cs="Futura Lt BT"/>
          <w:lang w:val="es-CR"/>
        </w:rPr>
        <w:t>marzo</w:t>
      </w:r>
      <w:r w:rsidR="000239F9" w:rsidRPr="00CA4E1B">
        <w:rPr>
          <w:rFonts w:ascii="Futura Lt BT" w:eastAsia="Futura Lt BT" w:hAnsi="Futura Lt BT" w:cs="Futura Lt BT"/>
          <w:lang w:val="es-CR"/>
        </w:rPr>
        <w:t xml:space="preserve"> </w:t>
      </w:r>
      <w:r w:rsidRPr="00CA4E1B">
        <w:rPr>
          <w:rFonts w:ascii="Futura Lt BT" w:eastAsia="Futura Lt BT" w:hAnsi="Futura Lt BT" w:cs="Futura Lt BT"/>
          <w:lang w:val="es-CR"/>
        </w:rPr>
        <w:t>de 202</w:t>
      </w:r>
      <w:r w:rsidR="0002765D" w:rsidRPr="00CA4E1B">
        <w:rPr>
          <w:rFonts w:ascii="Futura Lt BT" w:eastAsia="Futura Lt BT" w:hAnsi="Futura Lt BT" w:cs="Futura Lt BT"/>
          <w:lang w:val="es-CR"/>
        </w:rPr>
        <w:t>1</w:t>
      </w:r>
      <w:r w:rsidRPr="00CA4E1B">
        <w:rPr>
          <w:rFonts w:ascii="Futura Lt BT" w:eastAsia="Futura Lt BT" w:hAnsi="Futura Lt BT" w:cs="Futura Lt BT"/>
          <w:lang w:val="es-CR"/>
        </w:rPr>
        <w:t xml:space="preserve">, a partir de las </w:t>
      </w:r>
      <w:r w:rsidR="00723C35" w:rsidRPr="00CA4E1B">
        <w:rPr>
          <w:rFonts w:ascii="Futura Lt BT" w:eastAsia="Futura Lt BT" w:hAnsi="Futura Lt BT" w:cs="Futura Lt BT"/>
          <w:lang w:val="es-CR"/>
        </w:rPr>
        <w:t>8</w:t>
      </w:r>
      <w:r w:rsidRPr="00CA4E1B">
        <w:rPr>
          <w:rFonts w:ascii="Futura Lt BT" w:eastAsia="Futura Lt BT" w:hAnsi="Futura Lt BT" w:cs="Futura Lt BT"/>
          <w:lang w:val="es-CR"/>
        </w:rPr>
        <w:t>:</w:t>
      </w:r>
      <w:r w:rsidR="00723C35" w:rsidRPr="00CA4E1B">
        <w:rPr>
          <w:rFonts w:ascii="Futura Lt BT" w:eastAsia="Futura Lt BT" w:hAnsi="Futura Lt BT" w:cs="Futura Lt BT"/>
          <w:lang w:val="es-CR"/>
        </w:rPr>
        <w:t>0</w:t>
      </w:r>
      <w:r w:rsidRPr="00CA4E1B">
        <w:rPr>
          <w:rFonts w:ascii="Futura Lt BT" w:eastAsia="Futura Lt BT" w:hAnsi="Futura Lt BT" w:cs="Futura Lt BT"/>
          <w:lang w:val="es-CR"/>
        </w:rPr>
        <w:t xml:space="preserve">0 horas, </w:t>
      </w:r>
      <w:r w:rsidR="00FC0514" w:rsidRPr="00CA4E1B">
        <w:rPr>
          <w:rFonts w:ascii="Futura Lt BT" w:eastAsia="Futura Lt BT" w:hAnsi="Futura Lt BT" w:cs="Futura Lt BT"/>
          <w:lang w:val="es-CR"/>
        </w:rPr>
        <w:t>de manera</w:t>
      </w:r>
      <w:r w:rsidR="00723C35" w:rsidRPr="00CA4E1B">
        <w:rPr>
          <w:rFonts w:ascii="Futura Lt BT" w:eastAsia="Futura Lt BT" w:hAnsi="Futura Lt BT" w:cs="Futura Lt BT"/>
          <w:lang w:val="es-CR"/>
        </w:rPr>
        <w:t xml:space="preserve"> virtual</w:t>
      </w:r>
      <w:r w:rsidRPr="00CA4E1B">
        <w:rPr>
          <w:rFonts w:ascii="Futura Lt BT" w:eastAsia="Futura Lt BT" w:hAnsi="Futura Lt BT" w:cs="Futura Lt BT"/>
          <w:lang w:val="es-CR"/>
        </w:rPr>
        <w:t>.</w:t>
      </w:r>
    </w:p>
    <w:p w14:paraId="5EA15207" w14:textId="578E9A2B" w:rsidR="00184E8D" w:rsidRPr="00CA4E1B" w:rsidRDefault="0061102B" w:rsidP="00F2576C">
      <w:pPr>
        <w:pStyle w:val="Body"/>
        <w:spacing w:before="100" w:after="100" w:line="240" w:lineRule="auto"/>
        <w:ind w:firstLine="709"/>
        <w:jc w:val="both"/>
        <w:rPr>
          <w:rFonts w:ascii="Futura Lt BT" w:eastAsia="Futura Lt BT" w:hAnsi="Futura Lt BT" w:cs="Futura Lt BT"/>
          <w:lang w:val="es-CR"/>
        </w:rPr>
      </w:pPr>
      <w:r w:rsidRPr="00CA4E1B">
        <w:rPr>
          <w:rFonts w:ascii="Futura Lt BT" w:eastAsia="Futura Lt BT" w:hAnsi="Futura Lt BT" w:cs="Futura Lt BT"/>
          <w:lang w:val="es-CR"/>
        </w:rPr>
        <w:t xml:space="preserve">El Consejo se integró de la </w:t>
      </w:r>
      <w:r w:rsidR="00FC0514" w:rsidRPr="00CA4E1B">
        <w:rPr>
          <w:rFonts w:ascii="Futura Lt BT" w:eastAsia="Futura Lt BT" w:hAnsi="Futura Lt BT" w:cs="Futura Lt BT"/>
          <w:lang w:val="es-CR"/>
        </w:rPr>
        <w:t xml:space="preserve">forma </w:t>
      </w:r>
      <w:r w:rsidRPr="00CA4E1B">
        <w:rPr>
          <w:rFonts w:ascii="Futura Lt BT" w:eastAsia="Futura Lt BT" w:hAnsi="Futura Lt BT" w:cs="Futura Lt BT"/>
          <w:lang w:val="es-CR"/>
        </w:rPr>
        <w:t xml:space="preserve">siguiente: </w:t>
      </w:r>
      <w:r w:rsidR="0002765D" w:rsidRPr="00CA4E1B">
        <w:rPr>
          <w:rFonts w:ascii="Futura Lt BT" w:eastAsia="Futura Lt BT" w:hAnsi="Futura Lt BT" w:cs="Futura Lt BT"/>
          <w:lang w:val="es-CR"/>
        </w:rPr>
        <w:t xml:space="preserve">señor Wilfredo </w:t>
      </w:r>
      <w:r w:rsidR="007635BE">
        <w:rPr>
          <w:rFonts w:ascii="Futura Lt BT" w:eastAsia="Futura Lt BT" w:hAnsi="Futura Lt BT" w:cs="Futura Lt BT"/>
          <w:lang w:val="es-CR"/>
        </w:rPr>
        <w:t xml:space="preserve">Rafael </w:t>
      </w:r>
      <w:r w:rsidR="0002765D" w:rsidRPr="00CA4E1B">
        <w:rPr>
          <w:rFonts w:ascii="Futura Lt BT" w:eastAsia="Futura Lt BT" w:hAnsi="Futura Lt BT" w:cs="Futura Lt BT"/>
          <w:lang w:val="es-CR"/>
        </w:rPr>
        <w:t>Cerrato Rodríguez, Presidente del Banco Central de Honduras (BCH) y Presidente del CMCA;</w:t>
      </w:r>
      <w:bookmarkStart w:id="1" w:name="_Hlk508789141"/>
      <w:r w:rsidRPr="00CA4E1B">
        <w:rPr>
          <w:rFonts w:ascii="Futura Lt BT" w:eastAsia="Futura Lt BT" w:hAnsi="Futura Lt BT" w:cs="Futura Lt BT"/>
          <w:lang w:val="es-CR"/>
        </w:rPr>
        <w:t xml:space="preserve"> </w:t>
      </w:r>
      <w:r w:rsidR="004956EC" w:rsidRPr="00CA4E1B">
        <w:rPr>
          <w:rFonts w:ascii="Futura Lt BT" w:eastAsia="Futura Lt BT" w:hAnsi="Futura Lt BT" w:cs="Futura Lt BT"/>
          <w:lang w:val="es-CR"/>
        </w:rPr>
        <w:t>señor Leonardo Ovidio Reyes Ramírez, Presidente del Banco Central de Nicaragua (BCN)</w:t>
      </w:r>
      <w:r w:rsidR="004956EC">
        <w:rPr>
          <w:rFonts w:ascii="Futura Lt BT" w:eastAsia="Futura Lt BT" w:hAnsi="Futura Lt BT" w:cs="Futura Lt BT"/>
          <w:lang w:val="es-CR"/>
        </w:rPr>
        <w:t xml:space="preserve"> y Vicepresidente del CMCA; </w:t>
      </w:r>
      <w:r w:rsidRPr="00CA4E1B">
        <w:rPr>
          <w:rFonts w:ascii="Futura Lt BT" w:eastAsia="Futura Lt BT" w:hAnsi="Futura Lt BT" w:cs="Futura Lt BT"/>
          <w:lang w:val="es-CR"/>
        </w:rPr>
        <w:t xml:space="preserve">señor </w:t>
      </w:r>
      <w:bookmarkEnd w:id="1"/>
      <w:r w:rsidRPr="00CA4E1B">
        <w:rPr>
          <w:rFonts w:ascii="Futura Lt BT" w:eastAsia="Futura Lt BT" w:hAnsi="Futura Lt BT" w:cs="Futura Lt BT"/>
          <w:lang w:val="es-CR"/>
        </w:rPr>
        <w:t xml:space="preserve">Rodrigo Cubero Brealey, Presidente del Banco Central de Costa Rica (BCCR); señor </w:t>
      </w:r>
      <w:r w:rsidR="000239F9" w:rsidRPr="00CA4E1B">
        <w:rPr>
          <w:rFonts w:ascii="Futura Lt BT" w:eastAsia="Futura Lt BT" w:hAnsi="Futura Lt BT" w:cs="Futura Lt BT"/>
          <w:lang w:val="es-CR"/>
        </w:rPr>
        <w:t>Douglas Pablo Rodríguez Fuentes</w:t>
      </w:r>
      <w:r w:rsidRPr="00CA4E1B">
        <w:rPr>
          <w:rFonts w:ascii="Futura Lt BT" w:eastAsia="Futura Lt BT" w:hAnsi="Futura Lt BT" w:cs="Futura Lt BT"/>
          <w:lang w:val="es-CR"/>
        </w:rPr>
        <w:t xml:space="preserve">, Presidente del Banco Central de Reserva de El Salvador (BCRES); </w:t>
      </w:r>
      <w:r w:rsidR="0002765D" w:rsidRPr="00CA4E1B">
        <w:rPr>
          <w:rFonts w:ascii="Futura Lt BT" w:eastAsia="Futura Lt BT" w:hAnsi="Futura Lt BT" w:cs="Futura Lt BT"/>
          <w:lang w:val="es-CR"/>
        </w:rPr>
        <w:t>señor Sergio Francisco Recinos Rivera, Presidente del Banco de Guatemala (BANGUAT)</w:t>
      </w:r>
      <w:r w:rsidR="00723C35" w:rsidRPr="00CA4E1B">
        <w:rPr>
          <w:rFonts w:ascii="Futura Lt BT" w:eastAsia="Futura Lt BT" w:hAnsi="Futura Lt BT" w:cs="Futura Lt BT"/>
          <w:lang w:val="es-CR"/>
        </w:rPr>
        <w:t xml:space="preserve">, y señor Héctor Valdez Albizu, Gobernador del Banco Central de la República Dominicana (BCRD). </w:t>
      </w:r>
    </w:p>
    <w:p w14:paraId="24CB9321" w14:textId="6EE0EC83" w:rsidR="00B13475" w:rsidRPr="00CA4E1B" w:rsidRDefault="0061102B" w:rsidP="00F2576C">
      <w:pPr>
        <w:pStyle w:val="Body"/>
        <w:spacing w:before="100" w:after="100" w:line="240" w:lineRule="auto"/>
        <w:ind w:firstLine="709"/>
        <w:jc w:val="both"/>
        <w:rPr>
          <w:rFonts w:ascii="Futura Lt BT" w:eastAsia="Futura Lt BT" w:hAnsi="Futura Lt BT" w:cs="Futura Lt BT"/>
          <w:lang w:val="es-CR"/>
        </w:rPr>
      </w:pPr>
      <w:r w:rsidRPr="00CA4E1B">
        <w:rPr>
          <w:rFonts w:ascii="Futura Lt BT" w:eastAsia="Futura Lt BT" w:hAnsi="Futura Lt BT" w:cs="Futura Lt BT"/>
          <w:lang w:val="es-CR"/>
        </w:rPr>
        <w:t xml:space="preserve">En calidad de asesores participaron: </w:t>
      </w:r>
      <w:r w:rsidR="00F2576C" w:rsidRPr="00CA4E1B">
        <w:rPr>
          <w:rFonts w:ascii="Futura Lt BT" w:eastAsia="Futura Lt BT" w:hAnsi="Futura Lt BT" w:cs="Futura Lt BT"/>
          <w:lang w:val="es-CR"/>
        </w:rPr>
        <w:t>por parte del BCRES</w:t>
      </w:r>
      <w:r w:rsidR="00723C35" w:rsidRPr="00CA4E1B">
        <w:rPr>
          <w:rFonts w:ascii="Futura Lt BT" w:eastAsia="Futura Lt BT" w:hAnsi="Futura Lt BT" w:cs="Futura Lt BT"/>
          <w:lang w:val="es-CR"/>
        </w:rPr>
        <w:t>, los señores</w:t>
      </w:r>
      <w:r w:rsidR="00F2576C" w:rsidRPr="00CA4E1B">
        <w:rPr>
          <w:rFonts w:ascii="Futura Lt BT" w:eastAsia="Futura Lt BT" w:hAnsi="Futura Lt BT" w:cs="Futura Lt BT"/>
          <w:lang w:val="es-CR"/>
        </w:rPr>
        <w:t xml:space="preserve"> Otto Boris Rodríguez,</w:t>
      </w:r>
      <w:r w:rsidR="004202A9" w:rsidRPr="00CA4E1B">
        <w:rPr>
          <w:rFonts w:ascii="Futura Lt BT" w:eastAsia="Futura Lt BT" w:hAnsi="Futura Lt BT" w:cs="Futura Lt BT"/>
          <w:lang w:val="es-CR"/>
        </w:rPr>
        <w:t xml:space="preserve"> Vicepresidente, </w:t>
      </w:r>
      <w:r w:rsidR="00F2576C" w:rsidRPr="00CA4E1B">
        <w:rPr>
          <w:rFonts w:ascii="Futura Lt BT" w:eastAsia="Futura Lt BT" w:hAnsi="Futura Lt BT" w:cs="Futura Lt BT"/>
          <w:lang w:val="es-CR"/>
        </w:rPr>
        <w:t xml:space="preserve">Miguel Chorro Serpas y César Alvarado; </w:t>
      </w:r>
      <w:r w:rsidR="00723C35" w:rsidRPr="00CA4E1B">
        <w:rPr>
          <w:rFonts w:ascii="Futura Lt BT" w:eastAsia="Futura Lt BT" w:hAnsi="Futura Lt BT" w:cs="Futura Lt BT"/>
          <w:lang w:val="es-CR"/>
        </w:rPr>
        <w:t xml:space="preserve">por parte del </w:t>
      </w:r>
      <w:r w:rsidRPr="00CA4E1B">
        <w:rPr>
          <w:rFonts w:ascii="Futura Lt BT" w:eastAsia="Futura Lt BT" w:hAnsi="Futura Lt BT" w:cs="Futura Lt BT"/>
          <w:lang w:val="es-CR"/>
        </w:rPr>
        <w:t xml:space="preserve">BANGUAT, </w:t>
      </w:r>
      <w:r w:rsidR="00EA6E87" w:rsidRPr="00CA4E1B">
        <w:rPr>
          <w:rFonts w:ascii="Futura Lt BT" w:eastAsia="Futura Lt BT" w:hAnsi="Futura Lt BT" w:cs="Futura Lt BT"/>
          <w:lang w:val="es-CR"/>
        </w:rPr>
        <w:t xml:space="preserve">los </w:t>
      </w:r>
      <w:r w:rsidRPr="00CA4E1B">
        <w:rPr>
          <w:rFonts w:ascii="Futura Lt BT" w:eastAsia="Futura Lt BT" w:hAnsi="Futura Lt BT" w:cs="Futura Lt BT"/>
          <w:lang w:val="es-CR"/>
        </w:rPr>
        <w:t>señor</w:t>
      </w:r>
      <w:r w:rsidR="00EA6E87" w:rsidRPr="00CA4E1B">
        <w:rPr>
          <w:rFonts w:ascii="Futura Lt BT" w:eastAsia="Futura Lt BT" w:hAnsi="Futura Lt BT" w:cs="Futura Lt BT"/>
          <w:lang w:val="es-CR"/>
        </w:rPr>
        <w:t>es</w:t>
      </w:r>
      <w:r w:rsidR="00F2576C" w:rsidRPr="00CA4E1B">
        <w:rPr>
          <w:rFonts w:ascii="Futura Lt BT" w:eastAsia="Futura Lt BT" w:hAnsi="Futura Lt BT" w:cs="Futura Lt BT"/>
          <w:lang w:val="es-CR"/>
        </w:rPr>
        <w:t xml:space="preserve"> </w:t>
      </w:r>
      <w:r w:rsidR="00EA6E87" w:rsidRPr="00CA4E1B">
        <w:rPr>
          <w:rFonts w:ascii="Futura Lt BT" w:eastAsia="Futura Lt BT" w:hAnsi="Futura Lt BT" w:cs="Futura Lt BT"/>
          <w:lang w:val="es-CR"/>
        </w:rPr>
        <w:t xml:space="preserve">José Alfredo Blanco Valdés, Vicepresidente; Oscar Monterroso, Gerente General; Leonel Moreno, Johny Gramajo y </w:t>
      </w:r>
      <w:r w:rsidR="00F2576C" w:rsidRPr="00CA4E1B">
        <w:rPr>
          <w:rFonts w:ascii="Futura Lt BT" w:eastAsia="Futura Lt BT" w:hAnsi="Futura Lt BT" w:cs="Futura Lt BT"/>
          <w:lang w:val="es-CR"/>
        </w:rPr>
        <w:t xml:space="preserve">Eddy Carpio; </w:t>
      </w:r>
      <w:r w:rsidRPr="00CA4E1B">
        <w:rPr>
          <w:rFonts w:ascii="Futura Lt BT" w:eastAsia="Futura Lt BT" w:hAnsi="Futura Lt BT" w:cs="Futura Lt BT"/>
          <w:lang w:val="es-CR"/>
        </w:rPr>
        <w:t xml:space="preserve">por parte del BCH, </w:t>
      </w:r>
      <w:r w:rsidR="00F2576C" w:rsidRPr="00CA4E1B">
        <w:rPr>
          <w:rFonts w:ascii="Futura Lt BT" w:eastAsia="Futura Lt BT" w:hAnsi="Futura Lt BT" w:cs="Futura Lt BT"/>
          <w:lang w:val="es-CR"/>
        </w:rPr>
        <w:t>la señora Aracely O’</w:t>
      </w:r>
      <w:r w:rsidR="002438A0" w:rsidRPr="00CA4E1B">
        <w:rPr>
          <w:rFonts w:ascii="Futura Lt BT" w:eastAsia="Futura Lt BT" w:hAnsi="Futura Lt BT" w:cs="Futura Lt BT"/>
          <w:lang w:val="es-CR"/>
        </w:rPr>
        <w:t>H</w:t>
      </w:r>
      <w:r w:rsidR="00F2576C" w:rsidRPr="00CA4E1B">
        <w:rPr>
          <w:rFonts w:ascii="Futura Lt BT" w:eastAsia="Futura Lt BT" w:hAnsi="Futura Lt BT" w:cs="Futura Lt BT"/>
          <w:lang w:val="es-CR"/>
        </w:rPr>
        <w:t>ara</w:t>
      </w:r>
      <w:r w:rsidR="00D86293">
        <w:rPr>
          <w:rFonts w:ascii="Futura Lt BT" w:eastAsia="Futura Lt BT" w:hAnsi="Futura Lt BT" w:cs="Futura Lt BT"/>
          <w:lang w:val="es-CR"/>
        </w:rPr>
        <w:t xml:space="preserve"> Guillén</w:t>
      </w:r>
      <w:r w:rsidR="00F2576C" w:rsidRPr="00CA4E1B">
        <w:rPr>
          <w:rFonts w:ascii="Futura Lt BT" w:eastAsia="Futura Lt BT" w:hAnsi="Futura Lt BT" w:cs="Futura Lt BT"/>
          <w:lang w:val="es-CR"/>
        </w:rPr>
        <w:t xml:space="preserve">, </w:t>
      </w:r>
      <w:r w:rsidR="00574076" w:rsidRPr="00CA4E1B">
        <w:rPr>
          <w:rFonts w:ascii="Futura Lt BT" w:eastAsia="Futura Lt BT" w:hAnsi="Futura Lt BT" w:cs="Futura Lt BT"/>
          <w:lang w:val="es-CR"/>
        </w:rPr>
        <w:t>G</w:t>
      </w:r>
      <w:r w:rsidR="00F2576C" w:rsidRPr="00CA4E1B">
        <w:rPr>
          <w:rFonts w:ascii="Futura Lt BT" w:eastAsia="Futura Lt BT" w:hAnsi="Futura Lt BT" w:cs="Futura Lt BT"/>
          <w:lang w:val="es-CR"/>
        </w:rPr>
        <w:t xml:space="preserve">erente; y </w:t>
      </w:r>
      <w:r w:rsidR="00EF0E1B" w:rsidRPr="00CA4E1B">
        <w:rPr>
          <w:rFonts w:ascii="Futura Lt BT" w:eastAsia="Futura Lt BT" w:hAnsi="Futura Lt BT" w:cs="Futura Lt BT"/>
          <w:lang w:val="es-CR"/>
        </w:rPr>
        <w:t xml:space="preserve">los señores Angel Arita y </w:t>
      </w:r>
      <w:r w:rsidR="00F2576C" w:rsidRPr="00CA4E1B">
        <w:rPr>
          <w:rFonts w:ascii="Futura Lt BT" w:eastAsia="Futura Lt BT" w:hAnsi="Futura Lt BT" w:cs="Futura Lt BT"/>
          <w:lang w:val="es-CR"/>
        </w:rPr>
        <w:t xml:space="preserve">Carlos Ávila; </w:t>
      </w:r>
      <w:r w:rsidRPr="00CA4E1B">
        <w:rPr>
          <w:rFonts w:ascii="Futura Lt BT" w:eastAsia="Futura Lt BT" w:hAnsi="Futura Lt BT" w:cs="Futura Lt BT"/>
          <w:lang w:val="es-CR"/>
        </w:rPr>
        <w:t xml:space="preserve">por parte del BCN, </w:t>
      </w:r>
      <w:r w:rsidR="00723C35" w:rsidRPr="00CA4E1B">
        <w:rPr>
          <w:rFonts w:ascii="Futura Lt BT" w:eastAsia="Futura Lt BT" w:hAnsi="Futura Lt BT" w:cs="Futura Lt BT"/>
          <w:lang w:val="es-CR"/>
        </w:rPr>
        <w:t>l</w:t>
      </w:r>
      <w:r w:rsidR="00F2576C" w:rsidRPr="00CA4E1B">
        <w:rPr>
          <w:rFonts w:ascii="Futura Lt BT" w:eastAsia="Futura Lt BT" w:hAnsi="Futura Lt BT" w:cs="Futura Lt BT"/>
          <w:lang w:val="es-CR"/>
        </w:rPr>
        <w:t>a</w:t>
      </w:r>
      <w:r w:rsidR="00723C35" w:rsidRPr="00CA4E1B">
        <w:rPr>
          <w:rFonts w:ascii="Futura Lt BT" w:eastAsia="Futura Lt BT" w:hAnsi="Futura Lt BT" w:cs="Futura Lt BT"/>
          <w:lang w:val="es-CR"/>
        </w:rPr>
        <w:t>s</w:t>
      </w:r>
      <w:r w:rsidRPr="00CA4E1B">
        <w:rPr>
          <w:rFonts w:ascii="Futura Lt BT" w:eastAsia="Futura Lt BT" w:hAnsi="Futura Lt BT" w:cs="Futura Lt BT"/>
          <w:lang w:val="es-CR"/>
        </w:rPr>
        <w:t xml:space="preserve"> señor</w:t>
      </w:r>
      <w:r w:rsidR="00F2576C" w:rsidRPr="00CA4E1B">
        <w:rPr>
          <w:rFonts w:ascii="Futura Lt BT" w:eastAsia="Futura Lt BT" w:hAnsi="Futura Lt BT" w:cs="Futura Lt BT"/>
          <w:lang w:val="es-CR"/>
        </w:rPr>
        <w:t>a</w:t>
      </w:r>
      <w:r w:rsidR="00723C35" w:rsidRPr="00CA4E1B">
        <w:rPr>
          <w:rFonts w:ascii="Futura Lt BT" w:eastAsia="Futura Lt BT" w:hAnsi="Futura Lt BT" w:cs="Futura Lt BT"/>
          <w:lang w:val="es-CR"/>
        </w:rPr>
        <w:t>s</w:t>
      </w:r>
      <w:r w:rsidR="00F2576C" w:rsidRPr="00CA4E1B">
        <w:rPr>
          <w:rFonts w:ascii="Futura Lt BT" w:eastAsia="Futura Lt BT" w:hAnsi="Futura Lt BT" w:cs="Futura Lt BT"/>
          <w:lang w:val="es-CR"/>
        </w:rPr>
        <w:t xml:space="preserve"> Sara Amelia Rosales, </w:t>
      </w:r>
      <w:r w:rsidR="00574076" w:rsidRPr="00CA4E1B">
        <w:rPr>
          <w:rFonts w:ascii="Futura Lt BT" w:eastAsia="Futura Lt BT" w:hAnsi="Futura Lt BT" w:cs="Futura Lt BT"/>
          <w:lang w:val="es-CR"/>
        </w:rPr>
        <w:t>G</w:t>
      </w:r>
      <w:r w:rsidR="00F2576C" w:rsidRPr="00CA4E1B">
        <w:rPr>
          <w:rFonts w:ascii="Futura Lt BT" w:eastAsia="Futura Lt BT" w:hAnsi="Futura Lt BT" w:cs="Futura Lt BT"/>
          <w:lang w:val="es-CR"/>
        </w:rPr>
        <w:t>erente</w:t>
      </w:r>
      <w:r w:rsidR="00B13475" w:rsidRPr="00CA4E1B">
        <w:rPr>
          <w:rFonts w:ascii="Futura Lt BT" w:eastAsia="Futura Lt BT" w:hAnsi="Futura Lt BT" w:cs="Futura Lt BT"/>
          <w:lang w:val="es-CR"/>
        </w:rPr>
        <w:t xml:space="preserve"> General</w:t>
      </w:r>
      <w:r w:rsidR="00F2576C" w:rsidRPr="00CA4E1B">
        <w:rPr>
          <w:rFonts w:ascii="Futura Lt BT" w:eastAsia="Futura Lt BT" w:hAnsi="Futura Lt BT" w:cs="Futura Lt BT"/>
          <w:lang w:val="es-CR"/>
        </w:rPr>
        <w:t>, Nina Conrado</w:t>
      </w:r>
      <w:r w:rsidR="00B13475" w:rsidRPr="00CA4E1B">
        <w:rPr>
          <w:rFonts w:ascii="Futura Lt BT" w:eastAsia="Futura Lt BT" w:hAnsi="Futura Lt BT" w:cs="Futura Lt BT"/>
          <w:lang w:val="es-CR"/>
        </w:rPr>
        <w:t xml:space="preserve"> y</w:t>
      </w:r>
      <w:r w:rsidR="00B13475" w:rsidRPr="00CA4E1B">
        <w:rPr>
          <w:rFonts w:ascii="Futura Lt BT" w:eastAsia="Times New Roman" w:hAnsi="Futura Lt BT"/>
          <w:lang w:val="es-CR"/>
        </w:rPr>
        <w:t xml:space="preserve"> Magaly Sáenz</w:t>
      </w:r>
      <w:r w:rsidR="00F2576C" w:rsidRPr="00CA4E1B">
        <w:rPr>
          <w:rFonts w:ascii="Futura Lt BT" w:eastAsia="Futura Lt BT" w:hAnsi="Futura Lt BT" w:cs="Futura Lt BT"/>
          <w:lang w:val="es-CR"/>
        </w:rPr>
        <w:t>, y l</w:t>
      </w:r>
      <w:r w:rsidR="00B13475" w:rsidRPr="00CA4E1B">
        <w:rPr>
          <w:rFonts w:ascii="Futura Lt BT" w:eastAsia="Futura Lt BT" w:hAnsi="Futura Lt BT" w:cs="Futura Lt BT"/>
          <w:lang w:val="es-CR"/>
        </w:rPr>
        <w:t>os</w:t>
      </w:r>
      <w:r w:rsidR="00F2576C" w:rsidRPr="00CA4E1B">
        <w:rPr>
          <w:rFonts w:ascii="Futura Lt BT" w:eastAsia="Futura Lt BT" w:hAnsi="Futura Lt BT" w:cs="Futura Lt BT"/>
          <w:lang w:val="es-CR"/>
        </w:rPr>
        <w:t xml:space="preserve"> señor</w:t>
      </w:r>
      <w:r w:rsidR="00B13475" w:rsidRPr="00CA4E1B">
        <w:rPr>
          <w:rFonts w:ascii="Futura Lt BT" w:eastAsia="Futura Lt BT" w:hAnsi="Futura Lt BT" w:cs="Futura Lt BT"/>
          <w:lang w:val="es-CR"/>
        </w:rPr>
        <w:t>es</w:t>
      </w:r>
      <w:r w:rsidR="00F2576C" w:rsidRPr="00CA4E1B">
        <w:rPr>
          <w:rFonts w:ascii="Futura Lt BT" w:eastAsia="Futura Lt BT" w:hAnsi="Futura Lt BT" w:cs="Futura Lt BT"/>
          <w:lang w:val="es-CR"/>
        </w:rPr>
        <w:t xml:space="preserve"> Carlos Sequeira</w:t>
      </w:r>
      <w:r w:rsidR="00B13475" w:rsidRPr="00CA4E1B">
        <w:rPr>
          <w:rFonts w:ascii="Futura Lt BT" w:eastAsia="Futura Lt BT" w:hAnsi="Futura Lt BT" w:cs="Futura Lt BT"/>
          <w:lang w:val="es-CR"/>
        </w:rPr>
        <w:t xml:space="preserve">, </w:t>
      </w:r>
      <w:r w:rsidR="00B13475" w:rsidRPr="00CA4E1B">
        <w:rPr>
          <w:rFonts w:ascii="Futura Lt BT" w:eastAsia="Times New Roman" w:hAnsi="Futura Lt BT"/>
          <w:lang w:val="es-CR"/>
        </w:rPr>
        <w:t xml:space="preserve">Mario Arauz, </w:t>
      </w:r>
      <w:proofErr w:type="spellStart"/>
      <w:r w:rsidR="00B13475" w:rsidRPr="00CA4E1B">
        <w:rPr>
          <w:rFonts w:ascii="Futura Lt BT" w:eastAsia="Times New Roman" w:hAnsi="Futura Lt BT"/>
          <w:lang w:val="es-CR"/>
        </w:rPr>
        <w:t>Oknan</w:t>
      </w:r>
      <w:proofErr w:type="spellEnd"/>
      <w:r w:rsidR="00B13475" w:rsidRPr="00CA4E1B">
        <w:rPr>
          <w:rFonts w:ascii="Futura Lt BT" w:eastAsia="Times New Roman" w:hAnsi="Futura Lt BT"/>
          <w:lang w:val="es-CR"/>
        </w:rPr>
        <w:t xml:space="preserve"> Bello, Pedro Arteaga y Gilberto Gonz</w:t>
      </w:r>
      <w:r w:rsidR="00EF0E1B" w:rsidRPr="00CA4E1B">
        <w:rPr>
          <w:rFonts w:ascii="Futura Lt BT" w:eastAsia="Times New Roman" w:hAnsi="Futura Lt BT"/>
          <w:lang w:val="es-CR"/>
        </w:rPr>
        <w:t>á</w:t>
      </w:r>
      <w:r w:rsidR="00B13475" w:rsidRPr="00CA4E1B">
        <w:rPr>
          <w:rFonts w:ascii="Futura Lt BT" w:eastAsia="Times New Roman" w:hAnsi="Futura Lt BT"/>
          <w:lang w:val="es-CR"/>
        </w:rPr>
        <w:t xml:space="preserve">lez; </w:t>
      </w:r>
      <w:r w:rsidR="00B13475" w:rsidRPr="00CA4E1B">
        <w:rPr>
          <w:rFonts w:ascii="Futura Lt BT" w:eastAsia="Futura Lt BT" w:hAnsi="Futura Lt BT" w:cs="Futura Lt BT"/>
          <w:lang w:val="es-CR"/>
        </w:rPr>
        <w:t>y por parte del BCRD, la señora Brenda Villanueva</w:t>
      </w:r>
      <w:r w:rsidR="00DF08B9" w:rsidRPr="00CA4E1B">
        <w:rPr>
          <w:rFonts w:ascii="Futura Lt BT" w:eastAsia="Futura Lt BT" w:hAnsi="Futura Lt BT" w:cs="Futura Lt BT"/>
          <w:lang w:val="es-CR"/>
        </w:rPr>
        <w:t xml:space="preserve"> y el señor Joel Tejeda.</w:t>
      </w:r>
    </w:p>
    <w:p w14:paraId="7F6C7371" w14:textId="7383DD3E" w:rsidR="00F2576C" w:rsidRPr="00CA4E1B" w:rsidRDefault="0061102B" w:rsidP="00F2576C">
      <w:pPr>
        <w:pStyle w:val="Body"/>
        <w:spacing w:before="100" w:after="100" w:line="240" w:lineRule="auto"/>
        <w:ind w:firstLine="709"/>
        <w:jc w:val="both"/>
        <w:rPr>
          <w:rFonts w:ascii="Futura Lt BT" w:eastAsia="Futura Lt BT" w:hAnsi="Futura Lt BT" w:cs="Futura Lt BT"/>
          <w:lang w:val="es-CR"/>
        </w:rPr>
      </w:pPr>
      <w:r w:rsidRPr="00CA4E1B">
        <w:rPr>
          <w:rFonts w:ascii="Futura Lt BT" w:eastAsia="Futura Lt BT" w:hAnsi="Futura Lt BT" w:cs="Futura Lt BT"/>
          <w:lang w:val="es-CR"/>
        </w:rPr>
        <w:t>Por parte de la Secretaría Ejecutiva (SECMCA) participaron los señores Domingo J. González Hidalgo, Secretario Ejecutivo</w:t>
      </w:r>
      <w:r w:rsidR="007E5F12" w:rsidRPr="00CA4E1B">
        <w:rPr>
          <w:rFonts w:ascii="Futura Lt BT" w:eastAsia="Futura Lt BT" w:hAnsi="Futura Lt BT" w:cs="Futura Lt BT"/>
          <w:lang w:val="es-CR"/>
        </w:rPr>
        <w:t>,</w:t>
      </w:r>
      <w:r w:rsidR="004F5942" w:rsidRPr="00CA4E1B">
        <w:rPr>
          <w:rFonts w:ascii="Futura Lt BT" w:eastAsia="Futura Lt BT" w:hAnsi="Futura Lt BT" w:cs="Futura Lt BT"/>
          <w:lang w:val="es-CR"/>
        </w:rPr>
        <w:t xml:space="preserve"> </w:t>
      </w:r>
      <w:r w:rsidR="007E5F12" w:rsidRPr="00CA4E1B">
        <w:rPr>
          <w:rFonts w:ascii="Futura Lt BT" w:eastAsia="Futura Lt BT" w:hAnsi="Futura Lt BT" w:cs="Futura Lt BT"/>
          <w:lang w:val="es-CR"/>
        </w:rPr>
        <w:t xml:space="preserve">y </w:t>
      </w:r>
      <w:r w:rsidRPr="00CA4E1B">
        <w:rPr>
          <w:rFonts w:ascii="Futura Lt BT" w:eastAsia="Futura Lt BT" w:hAnsi="Futura Lt BT" w:cs="Futura Lt BT"/>
          <w:lang w:val="es-CR"/>
        </w:rPr>
        <w:t>Odalis Marte Alevante, Subsecretario Ejecutivo</w:t>
      </w:r>
      <w:r w:rsidR="007E5F12" w:rsidRPr="00CA4E1B">
        <w:rPr>
          <w:rFonts w:ascii="Futura Lt BT" w:eastAsia="Futura Lt BT" w:hAnsi="Futura Lt BT" w:cs="Futura Lt BT"/>
          <w:lang w:val="es-CR"/>
        </w:rPr>
        <w:t>;</w:t>
      </w:r>
      <w:r w:rsidRPr="00CA4E1B">
        <w:rPr>
          <w:rFonts w:ascii="Futura Lt BT" w:eastAsia="Futura Lt BT" w:hAnsi="Futura Lt BT" w:cs="Futura Lt BT"/>
          <w:lang w:val="es-CR"/>
        </w:rPr>
        <w:t xml:space="preserve"> </w:t>
      </w:r>
      <w:r w:rsidR="004F5942" w:rsidRPr="00CA4E1B">
        <w:rPr>
          <w:rFonts w:ascii="Futura Lt BT" w:eastAsia="Futura Lt BT" w:hAnsi="Futura Lt BT" w:cs="Futura Lt BT"/>
          <w:lang w:val="es-CR"/>
        </w:rPr>
        <w:t>así como los señores Jorge Madrigal</w:t>
      </w:r>
      <w:r w:rsidR="000239F9" w:rsidRPr="00CA4E1B">
        <w:rPr>
          <w:rFonts w:ascii="Futura Lt BT" w:eastAsia="Futura Lt BT" w:hAnsi="Futura Lt BT" w:cs="Futura Lt BT"/>
          <w:lang w:val="es-CR"/>
        </w:rPr>
        <w:t>, Jorge Quesada</w:t>
      </w:r>
      <w:r w:rsidR="004F5942" w:rsidRPr="00CA4E1B">
        <w:rPr>
          <w:rFonts w:ascii="Futura Lt BT" w:eastAsia="Futura Lt BT" w:hAnsi="Futura Lt BT" w:cs="Futura Lt BT"/>
          <w:lang w:val="es-CR"/>
        </w:rPr>
        <w:t xml:space="preserve"> </w:t>
      </w:r>
      <w:r w:rsidRPr="00CA4E1B">
        <w:rPr>
          <w:rFonts w:ascii="Futura Lt BT" w:eastAsia="Futura Lt BT" w:hAnsi="Futura Lt BT" w:cs="Futura Lt BT"/>
          <w:lang w:val="es-CR"/>
        </w:rPr>
        <w:t>y Luis Ricardo Rodríguez</w:t>
      </w:r>
      <w:r w:rsidR="002A4117" w:rsidRPr="00CA4E1B">
        <w:rPr>
          <w:rFonts w:ascii="Futura Lt BT" w:eastAsia="Futura Lt BT" w:hAnsi="Futura Lt BT" w:cs="Futura Lt BT"/>
          <w:lang w:val="es-CR"/>
        </w:rPr>
        <w:t>, asesores</w:t>
      </w:r>
      <w:r w:rsidRPr="00CA4E1B">
        <w:rPr>
          <w:rFonts w:ascii="Futura Lt BT" w:eastAsia="Futura Lt BT" w:hAnsi="Futura Lt BT" w:cs="Futura Lt BT"/>
          <w:lang w:val="es-CR"/>
        </w:rPr>
        <w:t>.</w:t>
      </w:r>
      <w:r w:rsidR="00F2576C" w:rsidRPr="00CA4E1B">
        <w:rPr>
          <w:rFonts w:ascii="Futura Lt BT" w:eastAsia="Futura Lt BT" w:hAnsi="Futura Lt BT" w:cs="Futura Lt BT"/>
          <w:lang w:val="es-CR"/>
        </w:rPr>
        <w:t xml:space="preserve"> </w:t>
      </w:r>
    </w:p>
    <w:p w14:paraId="7C65C5A6" w14:textId="361176BA" w:rsidR="00F2576C" w:rsidRPr="00CA4E1B" w:rsidRDefault="00F2576C" w:rsidP="00F2576C">
      <w:pPr>
        <w:pStyle w:val="Body"/>
        <w:spacing w:before="100" w:after="100" w:line="240" w:lineRule="auto"/>
        <w:ind w:firstLine="709"/>
        <w:jc w:val="both"/>
        <w:rPr>
          <w:rFonts w:ascii="Futura Lt BT" w:eastAsia="Futura Lt BT" w:hAnsi="Futura Lt BT" w:cs="Futura Lt BT"/>
          <w:lang w:val="es-CR"/>
        </w:rPr>
      </w:pPr>
      <w:r w:rsidRPr="00CA4E1B">
        <w:rPr>
          <w:rFonts w:ascii="Futura Lt BT" w:eastAsia="Futura Lt BT" w:hAnsi="Futura Lt BT" w:cs="Futura Lt BT"/>
          <w:lang w:val="es-CR"/>
        </w:rPr>
        <w:t>Como invitado especial particip</w:t>
      </w:r>
      <w:r w:rsidR="00645A78" w:rsidRPr="00CA4E1B">
        <w:rPr>
          <w:rFonts w:ascii="Futura Lt BT" w:eastAsia="Futura Lt BT" w:hAnsi="Futura Lt BT" w:cs="Futura Lt BT"/>
          <w:lang w:val="es-CR"/>
        </w:rPr>
        <w:t>ó</w:t>
      </w:r>
      <w:r w:rsidRPr="00CA4E1B">
        <w:rPr>
          <w:rFonts w:ascii="Futura Lt BT" w:eastAsia="Futura Lt BT" w:hAnsi="Futura Lt BT" w:cs="Futura Lt BT"/>
          <w:lang w:val="es-CR"/>
        </w:rPr>
        <w:t xml:space="preserve"> </w:t>
      </w:r>
      <w:r w:rsidR="00645A78" w:rsidRPr="00CA4E1B">
        <w:rPr>
          <w:rFonts w:ascii="Futura Lt BT" w:eastAsia="Futura Lt BT" w:hAnsi="Futura Lt BT" w:cs="Futura Lt BT"/>
          <w:lang w:val="es-CR"/>
        </w:rPr>
        <w:t>e</w:t>
      </w:r>
      <w:r w:rsidRPr="00CA4E1B">
        <w:rPr>
          <w:rFonts w:ascii="Futura Lt BT" w:eastAsia="Futura Lt BT" w:hAnsi="Futura Lt BT" w:cs="Futura Lt BT"/>
          <w:lang w:val="es-CR"/>
        </w:rPr>
        <w:t>l señor</w:t>
      </w:r>
      <w:r w:rsidR="00645A78" w:rsidRPr="00CA4E1B">
        <w:rPr>
          <w:rFonts w:ascii="Futura Lt BT" w:eastAsia="Futura Lt BT" w:hAnsi="Futura Lt BT" w:cs="Futura Lt BT"/>
          <w:lang w:val="es-CR"/>
        </w:rPr>
        <w:t xml:space="preserve"> Mauricio Guevara Guzmán, presidente del Comité de Auditoría.</w:t>
      </w:r>
      <w:r w:rsidRPr="00CA4E1B">
        <w:rPr>
          <w:rFonts w:ascii="Futura Lt BT" w:eastAsia="Futura Lt BT" w:hAnsi="Futura Lt BT" w:cs="Futura Lt BT"/>
          <w:lang w:val="es-CR"/>
        </w:rPr>
        <w:t xml:space="preserve">  </w:t>
      </w:r>
    </w:p>
    <w:p w14:paraId="42CEE7A7" w14:textId="77777777" w:rsidR="00184E8D" w:rsidRPr="00CA4E1B" w:rsidRDefault="0061102B" w:rsidP="00F2576C">
      <w:pPr>
        <w:pStyle w:val="Body"/>
        <w:spacing w:before="480" w:after="100" w:line="240" w:lineRule="auto"/>
        <w:jc w:val="both"/>
        <w:rPr>
          <w:rFonts w:ascii="Futura Lt BT" w:eastAsia="Futura Lt BT" w:hAnsi="Futura Lt BT" w:cs="Futura Lt BT"/>
          <w:b/>
          <w:bCs/>
          <w:lang w:val="es-CR"/>
        </w:rPr>
      </w:pPr>
      <w:r w:rsidRPr="00CA4E1B">
        <w:rPr>
          <w:rFonts w:ascii="Futura Lt BT" w:eastAsia="Futura Lt BT" w:hAnsi="Futura Lt BT" w:cs="Futura Lt BT"/>
          <w:b/>
          <w:bCs/>
          <w:lang w:val="es-CR"/>
        </w:rPr>
        <w:t xml:space="preserve">PRIMERO: Inauguración. </w:t>
      </w:r>
    </w:p>
    <w:p w14:paraId="1699CD29" w14:textId="01F8D3E4" w:rsidR="00723C35" w:rsidRPr="00CA4E1B" w:rsidRDefault="0061102B" w:rsidP="00F2576C">
      <w:pPr>
        <w:pStyle w:val="Body"/>
        <w:spacing w:before="100" w:after="100" w:line="240" w:lineRule="auto"/>
        <w:ind w:firstLine="709"/>
        <w:jc w:val="both"/>
        <w:rPr>
          <w:rFonts w:ascii="Futura Lt BT" w:hAnsi="Futura Lt BT"/>
          <w:lang w:val="es-CR"/>
        </w:rPr>
      </w:pPr>
      <w:r w:rsidRPr="00CA4E1B">
        <w:rPr>
          <w:rFonts w:ascii="Futura Lt BT" w:eastAsia="Futura Lt BT" w:hAnsi="Futura Lt BT" w:cs="Futura Lt BT"/>
          <w:lang w:val="es-CR"/>
        </w:rPr>
        <w:t xml:space="preserve">El señor </w:t>
      </w:r>
      <w:r w:rsidR="0002765D" w:rsidRPr="00CA4E1B">
        <w:rPr>
          <w:rFonts w:ascii="Futura Lt BT" w:eastAsia="Futura Lt BT" w:hAnsi="Futura Lt BT" w:cs="Futura Lt BT"/>
          <w:lang w:val="es-CR"/>
        </w:rPr>
        <w:t>Wilfredo Cerrato</w:t>
      </w:r>
      <w:r w:rsidRPr="00CA4E1B">
        <w:rPr>
          <w:rFonts w:ascii="Futura Lt BT" w:eastAsia="Futura Lt BT" w:hAnsi="Futura Lt BT" w:cs="Futura Lt BT"/>
          <w:lang w:val="es-CR"/>
        </w:rPr>
        <w:t xml:space="preserve">, Presidente del CMCA, </w:t>
      </w:r>
      <w:r w:rsidR="008C6DFB" w:rsidRPr="00CA4E1B">
        <w:rPr>
          <w:rFonts w:ascii="Futura Lt BT" w:eastAsia="Futura Lt BT" w:hAnsi="Futura Lt BT" w:cs="Futura Lt BT"/>
          <w:lang w:val="es-CR"/>
        </w:rPr>
        <w:t>dio la bienvenida a los participantes en la reunión virtual, ag</w:t>
      </w:r>
      <w:r w:rsidRPr="00CA4E1B">
        <w:rPr>
          <w:rFonts w:ascii="Futura Lt BT" w:eastAsia="Futura Lt BT" w:hAnsi="Futura Lt BT" w:cs="Futura Lt BT"/>
          <w:lang w:val="es-CR"/>
        </w:rPr>
        <w:t>radeci</w:t>
      </w:r>
      <w:r w:rsidR="008C6DFB" w:rsidRPr="00CA4E1B">
        <w:rPr>
          <w:rFonts w:ascii="Futura Lt BT" w:eastAsia="Futura Lt BT" w:hAnsi="Futura Lt BT" w:cs="Futura Lt BT"/>
          <w:lang w:val="es-CR"/>
        </w:rPr>
        <w:t>endo su presencia en la misma</w:t>
      </w:r>
      <w:r w:rsidR="00B64EB4" w:rsidRPr="00CA4E1B">
        <w:rPr>
          <w:rFonts w:ascii="Futura Lt BT" w:eastAsia="Futura Lt BT" w:hAnsi="Futura Lt BT" w:cs="Futura Lt BT"/>
          <w:lang w:val="es-CR"/>
        </w:rPr>
        <w:t xml:space="preserve"> y</w:t>
      </w:r>
      <w:r w:rsidRPr="00CA4E1B">
        <w:rPr>
          <w:rFonts w:ascii="Futura Lt BT" w:eastAsia="Futura Lt BT" w:hAnsi="Futura Lt BT" w:cs="Futura Lt BT"/>
          <w:lang w:val="es-CR"/>
        </w:rPr>
        <w:t xml:space="preserve"> declaró inaugurada la reunión</w:t>
      </w:r>
      <w:r w:rsidR="00F2576C" w:rsidRPr="00CA4E1B">
        <w:rPr>
          <w:rFonts w:ascii="Futura Lt BT" w:eastAsia="Futura Lt BT" w:hAnsi="Futura Lt BT" w:cs="Futura Lt BT"/>
          <w:lang w:val="es-CR"/>
        </w:rPr>
        <w:t>.</w:t>
      </w:r>
    </w:p>
    <w:p w14:paraId="2560490E" w14:textId="5EE20045" w:rsidR="00184E8D" w:rsidRPr="00CA4E1B" w:rsidRDefault="008C6DFB" w:rsidP="00F2576C">
      <w:pPr>
        <w:pStyle w:val="Body"/>
        <w:spacing w:before="100" w:after="100" w:line="240" w:lineRule="auto"/>
        <w:ind w:firstLine="709"/>
        <w:jc w:val="both"/>
        <w:rPr>
          <w:rFonts w:ascii="Futura Lt BT" w:eastAsia="Futura Lt BT" w:hAnsi="Futura Lt BT" w:cs="Futura Lt BT"/>
          <w:lang w:val="es-CR"/>
        </w:rPr>
      </w:pPr>
      <w:r w:rsidRPr="00CA4E1B">
        <w:rPr>
          <w:rFonts w:ascii="Futura Lt BT" w:eastAsia="Futura Lt BT" w:hAnsi="Futura Lt BT" w:cs="Futura Lt BT"/>
          <w:lang w:val="es-CR"/>
        </w:rPr>
        <w:t xml:space="preserve">El </w:t>
      </w:r>
      <w:r w:rsidR="006E6CDA" w:rsidRPr="00CA4E1B">
        <w:rPr>
          <w:rFonts w:ascii="Futura Lt BT" w:eastAsia="Futura Lt BT" w:hAnsi="Futura Lt BT" w:cs="Futura Lt BT"/>
          <w:lang w:val="es-CR"/>
        </w:rPr>
        <w:t xml:space="preserve">señor Domingo González, </w:t>
      </w:r>
      <w:r w:rsidRPr="00CA4E1B">
        <w:rPr>
          <w:rFonts w:ascii="Futura Lt BT" w:eastAsia="Futura Lt BT" w:hAnsi="Futura Lt BT" w:cs="Futura Lt BT"/>
          <w:lang w:val="es-CR"/>
        </w:rPr>
        <w:t>Secretario Ejecutivo</w:t>
      </w:r>
      <w:r w:rsidR="006E6CDA" w:rsidRPr="00CA4E1B">
        <w:rPr>
          <w:rFonts w:ascii="Futura Lt BT" w:eastAsia="Futura Lt BT" w:hAnsi="Futura Lt BT" w:cs="Futura Lt BT"/>
          <w:lang w:val="es-CR"/>
        </w:rPr>
        <w:t xml:space="preserve"> del CMCA,</w:t>
      </w:r>
      <w:r w:rsidRPr="00CA4E1B">
        <w:rPr>
          <w:rFonts w:ascii="Futura Lt BT" w:eastAsia="Futura Lt BT" w:hAnsi="Futura Lt BT" w:cs="Futura Lt BT"/>
          <w:lang w:val="es-CR"/>
        </w:rPr>
        <w:t xml:space="preserve"> agradeció </w:t>
      </w:r>
      <w:r w:rsidR="006E6CDA" w:rsidRPr="00CA4E1B">
        <w:rPr>
          <w:rFonts w:ascii="Futura Lt BT" w:eastAsia="Futura Lt BT" w:hAnsi="Futura Lt BT" w:cs="Futura Lt BT"/>
          <w:lang w:val="es-CR"/>
        </w:rPr>
        <w:t>a los miembros del Consejo y sus asesores su participación en la reunión virtual</w:t>
      </w:r>
      <w:r w:rsidR="00723C35" w:rsidRPr="00CA4E1B">
        <w:rPr>
          <w:rFonts w:ascii="Futura Lt BT" w:eastAsia="Futura Lt BT" w:hAnsi="Futura Lt BT" w:cs="Futura Lt BT"/>
          <w:lang w:val="es-CR"/>
        </w:rPr>
        <w:t>.</w:t>
      </w:r>
    </w:p>
    <w:p w14:paraId="79DF6989" w14:textId="78FB3307" w:rsidR="00184E8D" w:rsidRPr="00CA4E1B" w:rsidRDefault="0061102B" w:rsidP="00F2576C">
      <w:pPr>
        <w:pStyle w:val="Body"/>
        <w:spacing w:before="480" w:after="100" w:line="240" w:lineRule="auto"/>
        <w:jc w:val="both"/>
        <w:rPr>
          <w:rFonts w:ascii="Futura Lt BT" w:eastAsia="Futura Lt BT" w:hAnsi="Futura Lt BT" w:cs="Futura Lt BT"/>
          <w:b/>
          <w:bCs/>
          <w:lang w:val="es-CR"/>
        </w:rPr>
      </w:pPr>
      <w:r w:rsidRPr="00CA4E1B">
        <w:rPr>
          <w:rFonts w:ascii="Futura Lt BT" w:eastAsia="Futura Lt BT" w:hAnsi="Futura Lt BT" w:cs="Futura Lt BT"/>
          <w:b/>
          <w:bCs/>
          <w:lang w:val="es-CR"/>
        </w:rPr>
        <w:t>SEGUNDO: Aprobación de la Agenda de la 2</w:t>
      </w:r>
      <w:r w:rsidR="008C6DFB" w:rsidRPr="00CA4E1B">
        <w:rPr>
          <w:rFonts w:ascii="Futura Lt BT" w:eastAsia="Futura Lt BT" w:hAnsi="Futura Lt BT" w:cs="Futura Lt BT"/>
          <w:b/>
          <w:bCs/>
          <w:lang w:val="es-CR"/>
        </w:rPr>
        <w:t>9</w:t>
      </w:r>
      <w:r w:rsidR="0002765D" w:rsidRPr="00CA4E1B">
        <w:rPr>
          <w:rFonts w:ascii="Futura Lt BT" w:eastAsia="Futura Lt BT" w:hAnsi="Futura Lt BT" w:cs="Futura Lt BT"/>
          <w:b/>
          <w:bCs/>
          <w:lang w:val="es-CR"/>
        </w:rPr>
        <w:t>1</w:t>
      </w:r>
      <w:r w:rsidRPr="00CA4E1B">
        <w:rPr>
          <w:rFonts w:ascii="Futura Lt BT" w:eastAsia="Futura Lt BT" w:hAnsi="Futura Lt BT" w:cs="Futura Lt BT"/>
          <w:b/>
          <w:bCs/>
          <w:lang w:val="es-CR"/>
        </w:rPr>
        <w:t xml:space="preserve">ª reunión del CMCA. </w:t>
      </w:r>
    </w:p>
    <w:p w14:paraId="071863F9" w14:textId="4CFBF100" w:rsidR="00571F7B" w:rsidRDefault="0061102B" w:rsidP="0079454A">
      <w:pPr>
        <w:pStyle w:val="Body"/>
        <w:spacing w:before="100" w:after="100" w:line="240" w:lineRule="auto"/>
        <w:ind w:firstLine="709"/>
        <w:jc w:val="both"/>
        <w:rPr>
          <w:rFonts w:ascii="Futura Lt BT" w:eastAsia="Futura Lt BT" w:hAnsi="Futura Lt BT" w:cs="Futura Lt BT"/>
          <w:lang w:val="es-CR"/>
        </w:rPr>
      </w:pPr>
      <w:r w:rsidRPr="00CA4E1B">
        <w:rPr>
          <w:rFonts w:ascii="Futura Lt BT" w:eastAsia="Futura Lt BT" w:hAnsi="Futura Lt BT" w:cs="Futura Lt BT"/>
          <w:lang w:val="es-CR"/>
        </w:rPr>
        <w:t xml:space="preserve">El Presidente sometió a </w:t>
      </w:r>
      <w:r w:rsidR="00925CAF" w:rsidRPr="00CA4E1B">
        <w:rPr>
          <w:rFonts w:ascii="Futura Lt BT" w:eastAsia="Futura Lt BT" w:hAnsi="Futura Lt BT" w:cs="Futura Lt BT"/>
          <w:lang w:val="es-CR"/>
        </w:rPr>
        <w:t xml:space="preserve">la </w:t>
      </w:r>
      <w:r w:rsidRPr="00CA4E1B">
        <w:rPr>
          <w:rFonts w:ascii="Futura Lt BT" w:eastAsia="Futura Lt BT" w:hAnsi="Futura Lt BT" w:cs="Futura Lt BT"/>
          <w:lang w:val="es-CR"/>
        </w:rPr>
        <w:t>consideración del Consejo la propuesta de Agenda de la 2</w:t>
      </w:r>
      <w:r w:rsidR="00723C35" w:rsidRPr="00CA4E1B">
        <w:rPr>
          <w:rFonts w:ascii="Futura Lt BT" w:eastAsia="Futura Lt BT" w:hAnsi="Futura Lt BT" w:cs="Futura Lt BT"/>
          <w:lang w:val="es-CR"/>
        </w:rPr>
        <w:t>9</w:t>
      </w:r>
      <w:r w:rsidR="0002765D" w:rsidRPr="00CA4E1B">
        <w:rPr>
          <w:rFonts w:ascii="Futura Lt BT" w:eastAsia="Futura Lt BT" w:hAnsi="Futura Lt BT" w:cs="Futura Lt BT"/>
          <w:lang w:val="es-CR"/>
        </w:rPr>
        <w:t>1</w:t>
      </w:r>
      <w:r w:rsidRPr="00CA4E1B">
        <w:rPr>
          <w:rFonts w:ascii="Futura Lt BT" w:eastAsia="Futura Lt BT" w:hAnsi="Futura Lt BT" w:cs="Futura Lt BT"/>
          <w:lang w:val="es-CR"/>
        </w:rPr>
        <w:t xml:space="preserve">ª Reunión. Esta fue aprobada </w:t>
      </w:r>
      <w:r w:rsidR="007635BE">
        <w:rPr>
          <w:rFonts w:ascii="Futura Lt BT" w:eastAsia="Futura Lt BT" w:hAnsi="Futura Lt BT" w:cs="Futura Lt BT"/>
          <w:lang w:val="es-CR"/>
        </w:rPr>
        <w:t xml:space="preserve">con </w:t>
      </w:r>
      <w:r w:rsidR="000E1B34">
        <w:rPr>
          <w:rFonts w:ascii="Futura Lt BT" w:eastAsia="Futura Lt BT" w:hAnsi="Futura Lt BT" w:cs="Futura Lt BT"/>
          <w:lang w:val="es-CR"/>
        </w:rPr>
        <w:t>modificación de orden a sugerencia del BCRES</w:t>
      </w:r>
      <w:r w:rsidR="007635BE">
        <w:rPr>
          <w:rFonts w:ascii="Futura Lt BT" w:eastAsia="Futura Lt BT" w:hAnsi="Futura Lt BT" w:cs="Futura Lt BT"/>
          <w:lang w:val="es-CR"/>
        </w:rPr>
        <w:t xml:space="preserve">, </w:t>
      </w:r>
      <w:r w:rsidRPr="00CA4E1B">
        <w:rPr>
          <w:rFonts w:ascii="Futura Lt BT" w:eastAsia="Futura Lt BT" w:hAnsi="Futura Lt BT" w:cs="Futura Lt BT"/>
          <w:lang w:val="es-CR"/>
        </w:rPr>
        <w:t>de la manera siguiente:</w:t>
      </w:r>
    </w:p>
    <w:p w14:paraId="78597526" w14:textId="77777777" w:rsidR="000E1B34" w:rsidRPr="00CA4E1B" w:rsidRDefault="000E1B34" w:rsidP="0079454A">
      <w:pPr>
        <w:pStyle w:val="Body"/>
        <w:spacing w:before="100" w:after="100" w:line="240" w:lineRule="auto"/>
        <w:ind w:firstLine="709"/>
        <w:jc w:val="both"/>
        <w:rPr>
          <w:rFonts w:ascii="Futura Lt BT" w:eastAsia="Futura Lt BT" w:hAnsi="Futura Lt BT" w:cs="Futura Lt BT"/>
          <w:lang w:val="es-CR"/>
        </w:rPr>
      </w:pPr>
    </w:p>
    <w:p w14:paraId="720C6DE0" w14:textId="77777777" w:rsidR="00571F7B" w:rsidRPr="00CA4E1B" w:rsidRDefault="00571F7B" w:rsidP="0079454A">
      <w:pPr>
        <w:pStyle w:val="Prrafodelista"/>
        <w:numPr>
          <w:ilvl w:val="0"/>
          <w:numId w:val="15"/>
        </w:numPr>
        <w:spacing w:after="0" w:line="240" w:lineRule="auto"/>
        <w:ind w:left="567" w:hanging="567"/>
        <w:contextualSpacing/>
        <w:jc w:val="both"/>
        <w:rPr>
          <w:rFonts w:ascii="Futura Lt BT" w:hAnsi="Futura Lt BT"/>
          <w:lang w:val="es-CR"/>
        </w:rPr>
      </w:pPr>
      <w:r w:rsidRPr="00CA4E1B">
        <w:rPr>
          <w:rFonts w:ascii="Futura Lt BT" w:hAnsi="Futura Lt BT"/>
          <w:lang w:val="es-CR"/>
        </w:rPr>
        <w:lastRenderedPageBreak/>
        <w:t>Inauguración.</w:t>
      </w:r>
    </w:p>
    <w:p w14:paraId="4F809017" w14:textId="7D857C70" w:rsidR="00571F7B" w:rsidRPr="00CA4E1B" w:rsidRDefault="00571F7B" w:rsidP="0079454A">
      <w:pPr>
        <w:pStyle w:val="Prrafodelista"/>
        <w:numPr>
          <w:ilvl w:val="0"/>
          <w:numId w:val="15"/>
        </w:numPr>
        <w:spacing w:after="0" w:line="240" w:lineRule="auto"/>
        <w:ind w:left="567" w:hanging="567"/>
        <w:contextualSpacing/>
        <w:jc w:val="both"/>
        <w:rPr>
          <w:rFonts w:ascii="Futura Lt BT" w:hAnsi="Futura Lt BT"/>
          <w:lang w:val="es-CR"/>
        </w:rPr>
      </w:pPr>
      <w:r w:rsidRPr="00CA4E1B">
        <w:rPr>
          <w:rFonts w:ascii="Futura Lt BT" w:hAnsi="Futura Lt BT"/>
          <w:lang w:val="es-CR"/>
        </w:rPr>
        <w:t>Aprobación de la Agenda de la 29</w:t>
      </w:r>
      <w:r w:rsidR="0002765D" w:rsidRPr="00CA4E1B">
        <w:rPr>
          <w:rFonts w:ascii="Futura Lt BT" w:hAnsi="Futura Lt BT"/>
          <w:lang w:val="es-CR"/>
        </w:rPr>
        <w:t>1</w:t>
      </w:r>
      <w:r w:rsidRPr="00CA4E1B">
        <w:rPr>
          <w:rFonts w:ascii="Futura Lt BT" w:hAnsi="Futura Lt BT"/>
          <w:lang w:val="es-CR"/>
        </w:rPr>
        <w:t xml:space="preserve"> Reunión del CMCA.</w:t>
      </w:r>
    </w:p>
    <w:p w14:paraId="6D9ADADC" w14:textId="76A9205B" w:rsidR="00571F7B" w:rsidRPr="00CA4E1B" w:rsidRDefault="00571F7B" w:rsidP="0079454A">
      <w:pPr>
        <w:pStyle w:val="Prrafodelista"/>
        <w:numPr>
          <w:ilvl w:val="0"/>
          <w:numId w:val="15"/>
        </w:numPr>
        <w:spacing w:after="0" w:line="240" w:lineRule="auto"/>
        <w:ind w:left="567" w:hanging="567"/>
        <w:contextualSpacing/>
        <w:jc w:val="both"/>
        <w:rPr>
          <w:rFonts w:ascii="Futura Lt BT" w:hAnsi="Futura Lt BT"/>
          <w:lang w:val="es-CR"/>
        </w:rPr>
      </w:pPr>
      <w:r w:rsidRPr="00CA4E1B">
        <w:rPr>
          <w:rFonts w:ascii="Futura Lt BT" w:hAnsi="Futura Lt BT"/>
          <w:lang w:val="es-CR"/>
        </w:rPr>
        <w:t>Aprobación del Acta de la 29</w:t>
      </w:r>
      <w:r w:rsidR="0002765D" w:rsidRPr="00CA4E1B">
        <w:rPr>
          <w:rFonts w:ascii="Futura Lt BT" w:hAnsi="Futura Lt BT"/>
          <w:lang w:val="es-CR"/>
        </w:rPr>
        <w:t>0</w:t>
      </w:r>
      <w:r w:rsidRPr="00CA4E1B">
        <w:rPr>
          <w:rFonts w:ascii="Futura Lt BT" w:hAnsi="Futura Lt BT"/>
          <w:lang w:val="es-CR"/>
        </w:rPr>
        <w:t xml:space="preserve"> Reunión del CMCA.</w:t>
      </w:r>
    </w:p>
    <w:p w14:paraId="514B3852" w14:textId="546C4F50" w:rsidR="00433334" w:rsidRPr="00CA4E1B" w:rsidRDefault="00433334" w:rsidP="0079454A">
      <w:pPr>
        <w:pStyle w:val="Prrafodelista"/>
        <w:numPr>
          <w:ilvl w:val="0"/>
          <w:numId w:val="15"/>
        </w:numPr>
        <w:spacing w:after="0" w:line="240" w:lineRule="auto"/>
        <w:ind w:left="567" w:hanging="567"/>
        <w:contextualSpacing/>
        <w:jc w:val="both"/>
        <w:rPr>
          <w:rFonts w:ascii="Futura Lt BT" w:hAnsi="Futura Lt BT"/>
          <w:lang w:val="es-CR"/>
        </w:rPr>
      </w:pPr>
      <w:r w:rsidRPr="00CA4E1B">
        <w:rPr>
          <w:rFonts w:ascii="Futura Lt BT" w:hAnsi="Futura Lt BT"/>
          <w:lang w:val="es-CR"/>
        </w:rPr>
        <w:t>Gestiones del BCRES y del BCCR para designación del Asesor Principal y del Asesor del Director del FMI que representa a CR, GT, ES y HN para el periodo 2021-2023.</w:t>
      </w:r>
    </w:p>
    <w:p w14:paraId="5EBD02A2" w14:textId="1358A43C" w:rsidR="00571F7B" w:rsidRPr="00CA4E1B" w:rsidRDefault="00571F7B" w:rsidP="0079454A">
      <w:pPr>
        <w:pStyle w:val="Prrafodelista"/>
        <w:numPr>
          <w:ilvl w:val="0"/>
          <w:numId w:val="15"/>
        </w:numPr>
        <w:spacing w:after="0" w:line="240" w:lineRule="auto"/>
        <w:ind w:left="567" w:hanging="567"/>
        <w:contextualSpacing/>
        <w:jc w:val="both"/>
        <w:rPr>
          <w:rFonts w:ascii="Futura Lt BT" w:hAnsi="Futura Lt BT"/>
          <w:lang w:val="es-CR"/>
        </w:rPr>
      </w:pPr>
      <w:r w:rsidRPr="00CA4E1B">
        <w:rPr>
          <w:rFonts w:ascii="Futura Lt BT" w:hAnsi="Futura Lt BT"/>
          <w:lang w:val="es-CR"/>
        </w:rPr>
        <w:t>Contexto macroeconómico regional</w:t>
      </w:r>
      <w:r w:rsidR="0002765D" w:rsidRPr="00CA4E1B">
        <w:rPr>
          <w:rFonts w:ascii="Futura Lt BT" w:hAnsi="Futura Lt BT"/>
          <w:lang w:val="es-CR"/>
        </w:rPr>
        <w:t>: perspectivas 2021</w:t>
      </w:r>
      <w:r w:rsidRPr="00CA4E1B">
        <w:rPr>
          <w:rFonts w:ascii="Futura Lt BT" w:hAnsi="Futura Lt BT"/>
          <w:lang w:val="es-CR"/>
        </w:rPr>
        <w:t xml:space="preserve">. </w:t>
      </w:r>
    </w:p>
    <w:p w14:paraId="4DE77B0C" w14:textId="1139FFCE" w:rsidR="00571F7B" w:rsidRPr="00CA4E1B" w:rsidRDefault="00571F7B" w:rsidP="0079454A">
      <w:pPr>
        <w:pStyle w:val="Prrafodelista"/>
        <w:numPr>
          <w:ilvl w:val="0"/>
          <w:numId w:val="15"/>
        </w:numPr>
        <w:spacing w:after="0" w:line="240" w:lineRule="auto"/>
        <w:ind w:left="567" w:hanging="567"/>
        <w:contextualSpacing/>
        <w:jc w:val="both"/>
        <w:rPr>
          <w:rFonts w:ascii="Futura Lt BT" w:hAnsi="Futura Lt BT"/>
          <w:lang w:val="es-CR"/>
        </w:rPr>
      </w:pPr>
      <w:r w:rsidRPr="00CA4E1B">
        <w:rPr>
          <w:rFonts w:ascii="Futura Lt BT" w:hAnsi="Futura Lt BT"/>
          <w:lang w:val="es-CR"/>
        </w:rPr>
        <w:t>Informes de la SECMCA y asuntos administrativos</w:t>
      </w:r>
    </w:p>
    <w:p w14:paraId="79173888" w14:textId="60F0585A" w:rsidR="0079454A" w:rsidRPr="00CA4E1B" w:rsidRDefault="0002765D" w:rsidP="0079454A">
      <w:pPr>
        <w:pStyle w:val="Prrafodelista"/>
        <w:numPr>
          <w:ilvl w:val="1"/>
          <w:numId w:val="15"/>
        </w:numPr>
        <w:contextualSpacing/>
        <w:jc w:val="both"/>
        <w:rPr>
          <w:rFonts w:ascii="Futura Lt BT" w:hAnsi="Futura Lt BT"/>
          <w:lang w:val="es-CR"/>
        </w:rPr>
      </w:pPr>
      <w:r w:rsidRPr="00CA4E1B">
        <w:rPr>
          <w:rFonts w:ascii="Futura Lt BT" w:hAnsi="Futura Lt BT"/>
          <w:lang w:val="es-CR"/>
        </w:rPr>
        <w:t>Informe del Comité de Auditoría del CMCA del 2020</w:t>
      </w:r>
      <w:r w:rsidR="0079454A" w:rsidRPr="00CA4E1B">
        <w:rPr>
          <w:rFonts w:ascii="Futura Lt BT" w:hAnsi="Futura Lt BT"/>
          <w:lang w:val="es-CR"/>
        </w:rPr>
        <w:t>.</w:t>
      </w:r>
    </w:p>
    <w:p w14:paraId="56D8150F" w14:textId="77777777" w:rsidR="0002765D" w:rsidRPr="00CA4E1B" w:rsidRDefault="0002765D" w:rsidP="0079454A">
      <w:pPr>
        <w:pStyle w:val="Prrafodelista"/>
        <w:numPr>
          <w:ilvl w:val="1"/>
          <w:numId w:val="15"/>
        </w:numPr>
        <w:contextualSpacing/>
        <w:jc w:val="both"/>
        <w:rPr>
          <w:rFonts w:ascii="Futura Lt BT" w:hAnsi="Futura Lt BT"/>
          <w:lang w:val="es-CR"/>
        </w:rPr>
      </w:pPr>
      <w:r w:rsidRPr="00CA4E1B">
        <w:rPr>
          <w:rFonts w:ascii="Futura Lt BT" w:hAnsi="Futura Lt BT"/>
          <w:lang w:val="es-CR"/>
        </w:rPr>
        <w:t>Informe y aprobación de liquidación presupuestaria de la SECMCA periodo 2020</w:t>
      </w:r>
    </w:p>
    <w:p w14:paraId="6FD3BBA1" w14:textId="6ECE0522" w:rsidR="0079454A" w:rsidRPr="00CA4E1B" w:rsidRDefault="0002765D" w:rsidP="0079454A">
      <w:pPr>
        <w:pStyle w:val="Prrafodelista"/>
        <w:numPr>
          <w:ilvl w:val="1"/>
          <w:numId w:val="15"/>
        </w:numPr>
        <w:contextualSpacing/>
        <w:jc w:val="both"/>
        <w:rPr>
          <w:rFonts w:ascii="Futura Lt BT" w:hAnsi="Futura Lt BT"/>
          <w:lang w:val="es-CR"/>
        </w:rPr>
      </w:pPr>
      <w:bookmarkStart w:id="2" w:name="_Hlk67490776"/>
      <w:r w:rsidRPr="00CA4E1B">
        <w:rPr>
          <w:rFonts w:ascii="Futura Lt BT" w:hAnsi="Futura Lt BT"/>
          <w:lang w:val="es-CR"/>
        </w:rPr>
        <w:t>Solicitud del Comité de Política Monetaria: Transformación del Comité Editorial de RECARD en Comisión de Investigación</w:t>
      </w:r>
      <w:bookmarkEnd w:id="2"/>
      <w:r w:rsidR="0079454A" w:rsidRPr="00CA4E1B">
        <w:rPr>
          <w:rFonts w:ascii="Futura Lt BT" w:hAnsi="Futura Lt BT"/>
          <w:lang w:val="es-CR"/>
        </w:rPr>
        <w:t>.</w:t>
      </w:r>
    </w:p>
    <w:p w14:paraId="01C786DA" w14:textId="5447A9BA" w:rsidR="0002765D" w:rsidRPr="00CA4E1B" w:rsidRDefault="0002765D" w:rsidP="0079454A">
      <w:pPr>
        <w:pStyle w:val="Prrafodelista"/>
        <w:numPr>
          <w:ilvl w:val="0"/>
          <w:numId w:val="15"/>
        </w:numPr>
        <w:spacing w:after="0" w:line="240" w:lineRule="auto"/>
        <w:ind w:left="567" w:hanging="567"/>
        <w:contextualSpacing/>
        <w:jc w:val="both"/>
        <w:rPr>
          <w:rFonts w:ascii="Futura Lt BT" w:hAnsi="Futura Lt BT"/>
          <w:lang w:val="es-CR"/>
        </w:rPr>
      </w:pPr>
      <w:r w:rsidRPr="00CA4E1B">
        <w:rPr>
          <w:rFonts w:ascii="Futura Lt BT" w:hAnsi="Futura Lt BT"/>
          <w:lang w:val="es-CR"/>
        </w:rPr>
        <w:t>Asuntos varios</w:t>
      </w:r>
      <w:r w:rsidR="00433334" w:rsidRPr="00CA4E1B">
        <w:rPr>
          <w:rFonts w:ascii="Futura Lt BT" w:hAnsi="Futura Lt BT"/>
          <w:lang w:val="es-CR"/>
        </w:rPr>
        <w:t xml:space="preserve">: </w:t>
      </w:r>
      <w:r w:rsidRPr="00CA4E1B">
        <w:rPr>
          <w:rFonts w:ascii="Futura Lt BT" w:hAnsi="Futura Lt BT"/>
          <w:lang w:val="es-CR"/>
        </w:rPr>
        <w:t xml:space="preserve"> </w:t>
      </w:r>
    </w:p>
    <w:p w14:paraId="5F477A30" w14:textId="4F5EF614" w:rsidR="0002765D" w:rsidRPr="00CA4E1B" w:rsidRDefault="0002765D" w:rsidP="0002765D">
      <w:pPr>
        <w:pStyle w:val="Prrafodelista"/>
        <w:numPr>
          <w:ilvl w:val="1"/>
          <w:numId w:val="15"/>
        </w:numPr>
        <w:spacing w:after="0" w:line="240" w:lineRule="auto"/>
        <w:contextualSpacing/>
        <w:jc w:val="both"/>
        <w:rPr>
          <w:rFonts w:ascii="Futura Lt BT" w:hAnsi="Futura Lt BT"/>
          <w:lang w:val="es-CR"/>
        </w:rPr>
      </w:pPr>
      <w:r w:rsidRPr="00CA4E1B">
        <w:rPr>
          <w:rFonts w:ascii="Futura Lt BT" w:hAnsi="Futura Lt BT"/>
          <w:lang w:val="es-CR"/>
        </w:rPr>
        <w:t>Gestión de la SG-SICA ante los bancos centrales sobre monedas conmemorativas del bicentenario de independencia de cinco repúblicas de Centroamérica (1821-2021).</w:t>
      </w:r>
    </w:p>
    <w:p w14:paraId="09134558" w14:textId="6BDD7539" w:rsidR="0002765D" w:rsidRPr="00CA4E1B" w:rsidRDefault="0002765D" w:rsidP="0002765D">
      <w:pPr>
        <w:pStyle w:val="Prrafodelista"/>
        <w:numPr>
          <w:ilvl w:val="1"/>
          <w:numId w:val="15"/>
        </w:numPr>
        <w:spacing w:after="0" w:line="240" w:lineRule="auto"/>
        <w:contextualSpacing/>
        <w:jc w:val="both"/>
        <w:rPr>
          <w:rFonts w:ascii="Futura Lt BT" w:hAnsi="Futura Lt BT"/>
          <w:lang w:val="es-CR"/>
        </w:rPr>
      </w:pPr>
      <w:r w:rsidRPr="00CA4E1B">
        <w:rPr>
          <w:rFonts w:ascii="Futura Lt BT" w:hAnsi="Futura Lt BT"/>
          <w:lang w:val="es-CR"/>
        </w:rPr>
        <w:t>Propuesta de la Secretaría del CCSBSO para fecha de próxima reunión conjunta (extraordinaria) el viernes 20 de agosto de 2021.</w:t>
      </w:r>
    </w:p>
    <w:p w14:paraId="29E6F73B" w14:textId="6F249A59" w:rsidR="0002765D" w:rsidRPr="00CA4E1B" w:rsidRDefault="0002765D" w:rsidP="0002765D">
      <w:pPr>
        <w:pStyle w:val="Prrafodelista"/>
        <w:numPr>
          <w:ilvl w:val="1"/>
          <w:numId w:val="15"/>
        </w:numPr>
        <w:spacing w:after="0" w:line="240" w:lineRule="auto"/>
        <w:contextualSpacing/>
        <w:jc w:val="both"/>
        <w:rPr>
          <w:rFonts w:ascii="Futura Lt BT" w:hAnsi="Futura Lt BT"/>
          <w:lang w:val="es-CR"/>
        </w:rPr>
      </w:pPr>
      <w:bookmarkStart w:id="3" w:name="_Hlk65854725"/>
      <w:r w:rsidRPr="00CA4E1B">
        <w:rPr>
          <w:rFonts w:ascii="Futura Lt BT" w:hAnsi="Futura Lt BT"/>
          <w:lang w:val="es-CR"/>
        </w:rPr>
        <w:t>Propuesta del BCH conversatorio sobre pensamiento económico en la época de la independencia de Centroamérica, septiembre 2021</w:t>
      </w:r>
      <w:bookmarkEnd w:id="3"/>
      <w:r w:rsidRPr="00CA4E1B">
        <w:rPr>
          <w:rFonts w:ascii="Futura Lt BT" w:hAnsi="Futura Lt BT"/>
          <w:lang w:val="es-CR"/>
        </w:rPr>
        <w:t>.</w:t>
      </w:r>
    </w:p>
    <w:p w14:paraId="246A2CA5" w14:textId="051495E8" w:rsidR="00571F7B" w:rsidRPr="00CA4E1B" w:rsidRDefault="00571F7B" w:rsidP="0079454A">
      <w:pPr>
        <w:pStyle w:val="Prrafodelista"/>
        <w:numPr>
          <w:ilvl w:val="0"/>
          <w:numId w:val="15"/>
        </w:numPr>
        <w:spacing w:after="0" w:line="240" w:lineRule="auto"/>
        <w:ind w:left="567" w:hanging="567"/>
        <w:contextualSpacing/>
        <w:jc w:val="both"/>
        <w:rPr>
          <w:rFonts w:ascii="Futura Lt BT" w:hAnsi="Futura Lt BT"/>
          <w:lang w:val="es-CR"/>
        </w:rPr>
      </w:pPr>
      <w:r w:rsidRPr="00CA4E1B">
        <w:rPr>
          <w:rFonts w:ascii="Futura Lt BT" w:hAnsi="Futura Lt BT"/>
          <w:lang w:val="es-CR"/>
        </w:rPr>
        <w:t>Lugar y fecha de las próximas reuniones en 2021</w:t>
      </w:r>
    </w:p>
    <w:p w14:paraId="0A62A4F5" w14:textId="32055404" w:rsidR="000239F9" w:rsidRPr="00CA4E1B" w:rsidRDefault="00571F7B" w:rsidP="0079454A">
      <w:pPr>
        <w:pStyle w:val="Prrafodelista"/>
        <w:numPr>
          <w:ilvl w:val="0"/>
          <w:numId w:val="15"/>
        </w:numPr>
        <w:spacing w:after="0" w:line="240" w:lineRule="auto"/>
        <w:ind w:left="567" w:hanging="567"/>
        <w:contextualSpacing/>
        <w:jc w:val="both"/>
        <w:rPr>
          <w:rFonts w:ascii="Futura Lt BT" w:hAnsi="Futura Lt BT"/>
          <w:lang w:val="es-CR"/>
        </w:rPr>
      </w:pPr>
      <w:r w:rsidRPr="00CA4E1B">
        <w:rPr>
          <w:rFonts w:ascii="Futura Lt BT" w:hAnsi="Futura Lt BT"/>
          <w:lang w:val="es-CR"/>
        </w:rPr>
        <w:t>Clausura</w:t>
      </w:r>
    </w:p>
    <w:p w14:paraId="1A51BA97" w14:textId="1192C0A8" w:rsidR="00184E8D" w:rsidRPr="00CA4E1B" w:rsidRDefault="0061102B" w:rsidP="00F2576C">
      <w:pPr>
        <w:pStyle w:val="Body"/>
        <w:spacing w:before="480" w:after="100" w:line="240" w:lineRule="auto"/>
        <w:jc w:val="both"/>
        <w:rPr>
          <w:rFonts w:ascii="Futura Lt BT" w:eastAsia="Futura Lt BT" w:hAnsi="Futura Lt BT" w:cs="Futura Lt BT"/>
          <w:b/>
          <w:bCs/>
          <w:lang w:val="es-CR"/>
        </w:rPr>
      </w:pPr>
      <w:r w:rsidRPr="00CA4E1B">
        <w:rPr>
          <w:rFonts w:ascii="Futura Lt BT" w:eastAsia="Futura Lt BT" w:hAnsi="Futura Lt BT" w:cs="Futura Lt BT"/>
          <w:b/>
          <w:bCs/>
          <w:lang w:val="es-CR"/>
        </w:rPr>
        <w:t>TERCERO: Aprobación del acta de la 2</w:t>
      </w:r>
      <w:r w:rsidR="000239F9" w:rsidRPr="00CA4E1B">
        <w:rPr>
          <w:rFonts w:ascii="Futura Lt BT" w:eastAsia="Futura Lt BT" w:hAnsi="Futura Lt BT" w:cs="Futura Lt BT"/>
          <w:b/>
          <w:bCs/>
          <w:lang w:val="es-CR"/>
        </w:rPr>
        <w:t>9</w:t>
      </w:r>
      <w:r w:rsidR="0002765D" w:rsidRPr="00CA4E1B">
        <w:rPr>
          <w:rFonts w:ascii="Futura Lt BT" w:eastAsia="Futura Lt BT" w:hAnsi="Futura Lt BT" w:cs="Futura Lt BT"/>
          <w:b/>
          <w:bCs/>
          <w:lang w:val="es-CR"/>
        </w:rPr>
        <w:t>0</w:t>
      </w:r>
      <w:r w:rsidRPr="00CA4E1B">
        <w:rPr>
          <w:rFonts w:ascii="Futura Lt BT" w:eastAsia="Futura Lt BT" w:hAnsi="Futura Lt BT" w:cs="Futura Lt BT"/>
          <w:b/>
          <w:bCs/>
          <w:lang w:val="es-CR"/>
        </w:rPr>
        <w:t>ª Reunión del CMCA.</w:t>
      </w:r>
    </w:p>
    <w:p w14:paraId="4C6FE582" w14:textId="07D1863D" w:rsidR="00184E8D" w:rsidRPr="00CA4E1B" w:rsidRDefault="0061102B" w:rsidP="00F2576C">
      <w:pPr>
        <w:pStyle w:val="Body"/>
        <w:spacing w:before="100" w:after="100" w:line="240" w:lineRule="auto"/>
        <w:ind w:firstLine="709"/>
        <w:jc w:val="both"/>
        <w:rPr>
          <w:rFonts w:ascii="Futura Lt BT" w:eastAsia="Futura Lt BT" w:hAnsi="Futura Lt BT" w:cs="Futura Lt BT"/>
          <w:lang w:val="es-CR"/>
        </w:rPr>
      </w:pPr>
      <w:r w:rsidRPr="00CA4E1B">
        <w:rPr>
          <w:rFonts w:ascii="Futura Lt BT" w:eastAsia="Futura Lt BT" w:hAnsi="Futura Lt BT" w:cs="Futura Lt BT"/>
          <w:lang w:val="es-CR"/>
        </w:rPr>
        <w:t>El Presidente del CMCA sometió a aprobación del Consejo el proyecto de Acta de la 2</w:t>
      </w:r>
      <w:r w:rsidR="0079454A" w:rsidRPr="00CA4E1B">
        <w:rPr>
          <w:rFonts w:ascii="Futura Lt BT" w:eastAsia="Futura Lt BT" w:hAnsi="Futura Lt BT" w:cs="Futura Lt BT"/>
          <w:lang w:val="es-CR"/>
        </w:rPr>
        <w:t>9</w:t>
      </w:r>
      <w:r w:rsidR="00E5537C" w:rsidRPr="00CA4E1B">
        <w:rPr>
          <w:rFonts w:ascii="Futura Lt BT" w:eastAsia="Futura Lt BT" w:hAnsi="Futura Lt BT" w:cs="Futura Lt BT"/>
          <w:lang w:val="es-CR"/>
        </w:rPr>
        <w:t>0</w:t>
      </w:r>
      <w:r w:rsidRPr="00CA4E1B">
        <w:rPr>
          <w:rFonts w:ascii="Futura Lt BT" w:eastAsia="Futura Lt BT" w:hAnsi="Futura Lt BT" w:cs="Futura Lt BT"/>
          <w:lang w:val="es-CR"/>
        </w:rPr>
        <w:t>ª Reunión del CMCA, la cual fue aprobada</w:t>
      </w:r>
      <w:r w:rsidR="00EF49B6" w:rsidRPr="00CA4E1B">
        <w:rPr>
          <w:rFonts w:ascii="Futura Lt BT" w:eastAsia="Futura Lt BT" w:hAnsi="Futura Lt BT" w:cs="Futura Lt BT"/>
          <w:lang w:val="es-CR"/>
        </w:rPr>
        <w:t xml:space="preserve"> con las observaciones </w:t>
      </w:r>
      <w:r w:rsidR="006B2858">
        <w:rPr>
          <w:rFonts w:ascii="Futura Lt BT" w:eastAsia="Futura Lt BT" w:hAnsi="Futura Lt BT" w:cs="Futura Lt BT"/>
          <w:lang w:val="es-CR"/>
        </w:rPr>
        <w:t xml:space="preserve">recibidas </w:t>
      </w:r>
      <w:r w:rsidR="00EF49B6" w:rsidRPr="00CA4E1B">
        <w:rPr>
          <w:rFonts w:ascii="Futura Lt BT" w:eastAsia="Futura Lt BT" w:hAnsi="Futura Lt BT" w:cs="Futura Lt BT"/>
          <w:lang w:val="es-CR"/>
        </w:rPr>
        <w:t>de los bancos centrales</w:t>
      </w:r>
      <w:r w:rsidRPr="00CA4E1B">
        <w:rPr>
          <w:rFonts w:ascii="Futura Lt BT" w:eastAsia="Futura Lt BT" w:hAnsi="Futura Lt BT" w:cs="Futura Lt BT"/>
          <w:lang w:val="es-CR"/>
        </w:rPr>
        <w:t>.</w:t>
      </w:r>
    </w:p>
    <w:p w14:paraId="49B33D9B" w14:textId="77777777" w:rsidR="0063189B" w:rsidRPr="00CA4E1B" w:rsidRDefault="0063189B" w:rsidP="0063189B">
      <w:pPr>
        <w:contextualSpacing/>
        <w:jc w:val="both"/>
        <w:rPr>
          <w:rFonts w:ascii="Futura Lt BT" w:hAnsi="Futura Lt BT"/>
          <w:sz w:val="22"/>
          <w:szCs w:val="22"/>
          <w:lang w:val="es-CR"/>
        </w:rPr>
      </w:pPr>
    </w:p>
    <w:p w14:paraId="37C20AF0" w14:textId="114326A2" w:rsidR="0063189B" w:rsidRPr="00CA4E1B" w:rsidRDefault="0063189B" w:rsidP="0063189B">
      <w:pPr>
        <w:contextualSpacing/>
        <w:jc w:val="both"/>
        <w:rPr>
          <w:rFonts w:ascii="Futura Lt BT" w:hAnsi="Futura Lt BT"/>
          <w:b/>
          <w:bCs/>
          <w:sz w:val="22"/>
          <w:szCs w:val="22"/>
          <w:lang w:val="es-CR"/>
        </w:rPr>
      </w:pPr>
      <w:r w:rsidRPr="00CA4E1B">
        <w:rPr>
          <w:rFonts w:ascii="Futura Lt BT" w:eastAsia="Futura Lt BT" w:hAnsi="Futura Lt BT" w:cs="Futura Lt BT"/>
          <w:b/>
          <w:bCs/>
          <w:sz w:val="22"/>
          <w:szCs w:val="22"/>
          <w:lang w:val="es-CR"/>
        </w:rPr>
        <w:t xml:space="preserve">CUARTO:  </w:t>
      </w:r>
      <w:r w:rsidRPr="00CA4E1B">
        <w:rPr>
          <w:rFonts w:ascii="Futura Lt BT" w:hAnsi="Futura Lt BT"/>
          <w:b/>
          <w:bCs/>
          <w:sz w:val="22"/>
          <w:szCs w:val="22"/>
          <w:lang w:val="es-CR"/>
        </w:rPr>
        <w:t xml:space="preserve">Gestiones del BCRES y del BCCR para designación del </w:t>
      </w:r>
      <w:r w:rsidRPr="007635BE">
        <w:rPr>
          <w:rFonts w:ascii="Futura Lt BT" w:hAnsi="Futura Lt BT"/>
          <w:b/>
          <w:bCs/>
          <w:i/>
          <w:iCs/>
          <w:sz w:val="22"/>
          <w:szCs w:val="22"/>
          <w:lang w:val="es-CR"/>
        </w:rPr>
        <w:t>Asesor Principal</w:t>
      </w:r>
      <w:r w:rsidRPr="00CA4E1B">
        <w:rPr>
          <w:rFonts w:ascii="Futura Lt BT" w:hAnsi="Futura Lt BT"/>
          <w:b/>
          <w:bCs/>
          <w:sz w:val="22"/>
          <w:szCs w:val="22"/>
          <w:lang w:val="es-CR"/>
        </w:rPr>
        <w:t xml:space="preserve"> y del </w:t>
      </w:r>
      <w:r w:rsidRPr="007635BE">
        <w:rPr>
          <w:rFonts w:ascii="Futura Lt BT" w:hAnsi="Futura Lt BT"/>
          <w:b/>
          <w:bCs/>
          <w:i/>
          <w:iCs/>
          <w:sz w:val="22"/>
          <w:szCs w:val="22"/>
          <w:lang w:val="es-CR"/>
        </w:rPr>
        <w:t>Asesor</w:t>
      </w:r>
      <w:r w:rsidRPr="00CA4E1B">
        <w:rPr>
          <w:rFonts w:ascii="Futura Lt BT" w:hAnsi="Futura Lt BT"/>
          <w:b/>
          <w:bCs/>
          <w:sz w:val="22"/>
          <w:szCs w:val="22"/>
          <w:lang w:val="es-CR"/>
        </w:rPr>
        <w:t xml:space="preserve"> del Director del FMI que representa a CR, GT, ES y HN para el periodo 2021-2023</w:t>
      </w:r>
    </w:p>
    <w:p w14:paraId="5C43C867" w14:textId="2951E20B" w:rsidR="0063189B" w:rsidRPr="00CA4E1B" w:rsidRDefault="005A3727" w:rsidP="0063189B">
      <w:pPr>
        <w:pStyle w:val="Body"/>
        <w:spacing w:before="100" w:after="100" w:line="240" w:lineRule="auto"/>
        <w:ind w:firstLine="709"/>
        <w:jc w:val="both"/>
        <w:rPr>
          <w:rFonts w:ascii="Futura Lt BT" w:eastAsia="Futura Lt BT" w:hAnsi="Futura Lt BT" w:cs="Futura Lt BT"/>
          <w:lang w:val="es-CR"/>
        </w:rPr>
      </w:pPr>
      <w:r w:rsidRPr="00CA4E1B">
        <w:rPr>
          <w:rFonts w:ascii="Futura Lt BT" w:eastAsia="Futura Lt BT" w:hAnsi="Futura Lt BT" w:cs="Futura Lt BT"/>
          <w:lang w:val="es-CR"/>
        </w:rPr>
        <w:t>E</w:t>
      </w:r>
      <w:r w:rsidR="0063189B" w:rsidRPr="00CA4E1B">
        <w:rPr>
          <w:rFonts w:ascii="Futura Lt BT" w:eastAsia="Futura Lt BT" w:hAnsi="Futura Lt BT" w:cs="Futura Lt BT"/>
          <w:lang w:val="es-CR"/>
        </w:rPr>
        <w:t xml:space="preserve">l </w:t>
      </w:r>
      <w:r w:rsidRPr="00CA4E1B">
        <w:rPr>
          <w:rFonts w:ascii="Futura Lt BT" w:eastAsia="Futura Lt BT" w:hAnsi="Futura Lt BT" w:cs="Futura Lt BT"/>
          <w:lang w:val="es-CR"/>
        </w:rPr>
        <w:t xml:space="preserve">Secretario Ejecutivo presentó la candidatura realizada por </w:t>
      </w:r>
      <w:r w:rsidR="0063189B" w:rsidRPr="00CA4E1B">
        <w:rPr>
          <w:rFonts w:ascii="Futura Lt BT" w:eastAsia="Futura Lt BT" w:hAnsi="Futura Lt BT" w:cs="Futura Lt BT"/>
          <w:lang w:val="es-CR"/>
        </w:rPr>
        <w:t>el B</w:t>
      </w:r>
      <w:r w:rsidR="007635BE">
        <w:rPr>
          <w:rFonts w:ascii="Futura Lt BT" w:eastAsia="Futura Lt BT" w:hAnsi="Futura Lt BT" w:cs="Futura Lt BT"/>
          <w:lang w:val="es-CR"/>
        </w:rPr>
        <w:t>CRES</w:t>
      </w:r>
      <w:r w:rsidR="0063189B" w:rsidRPr="00CA4E1B">
        <w:rPr>
          <w:rFonts w:ascii="Futura Lt BT" w:eastAsia="Futura Lt BT" w:hAnsi="Futura Lt BT" w:cs="Futura Lt BT"/>
          <w:lang w:val="es-CR"/>
        </w:rPr>
        <w:t xml:space="preserve"> del señor Edgar </w:t>
      </w:r>
      <w:r w:rsidR="0063189B" w:rsidRPr="00CA4E1B">
        <w:rPr>
          <w:rFonts w:ascii="Futura Lt BT" w:hAnsi="Futura Lt BT"/>
          <w:lang w:val="es-CR"/>
        </w:rPr>
        <w:t xml:space="preserve">Rolando Cartagena Guardado </w:t>
      </w:r>
      <w:r w:rsidR="007635BE">
        <w:rPr>
          <w:rFonts w:ascii="Futura Lt BT" w:hAnsi="Futura Lt BT"/>
          <w:lang w:val="es-CR"/>
        </w:rPr>
        <w:t xml:space="preserve">para </w:t>
      </w:r>
      <w:r w:rsidR="007635BE" w:rsidRPr="00CA4E1B">
        <w:rPr>
          <w:rFonts w:ascii="Futura Lt BT" w:hAnsi="Futura Lt BT"/>
          <w:lang w:val="es-CR"/>
        </w:rPr>
        <w:t xml:space="preserve">desempeñar </w:t>
      </w:r>
      <w:r w:rsidR="007635BE">
        <w:rPr>
          <w:rFonts w:ascii="Futura Lt BT" w:hAnsi="Futura Lt BT"/>
          <w:lang w:val="es-CR"/>
        </w:rPr>
        <w:t>e</w:t>
      </w:r>
      <w:r w:rsidR="0063189B" w:rsidRPr="00CA4E1B">
        <w:rPr>
          <w:rFonts w:ascii="Futura Lt BT" w:eastAsia="Futura Lt BT" w:hAnsi="Futura Lt BT" w:cs="Futura Lt BT"/>
          <w:lang w:val="es-CR"/>
        </w:rPr>
        <w:t xml:space="preserve">l puesto de Asesor Principal del Director Ejecutivo por España, México, Venezuela, Colombia, Costa Rica, El Salvador, Guatemala y Honduras ante el FMI, a partir del 1 de julio del presente año. Destacó que el licenciado Cartagena posee amplia trayectoria y experiencia profesional y que ha desempeñado con excelencia el cargo de Asesor en el FMI durante los dos últimos años. </w:t>
      </w:r>
      <w:r w:rsidR="00FB16E7">
        <w:rPr>
          <w:rFonts w:ascii="Futura Lt BT" w:eastAsia="Futura Lt BT" w:hAnsi="Futura Lt BT" w:cs="Futura Lt BT"/>
          <w:lang w:val="es-CR"/>
        </w:rPr>
        <w:t>E</w:t>
      </w:r>
      <w:r w:rsidR="00FB16E7" w:rsidRPr="00FB16E7">
        <w:rPr>
          <w:rFonts w:ascii="Futura Lt BT" w:eastAsia="Futura Lt BT" w:hAnsi="Futura Lt BT" w:cs="Futura Lt BT"/>
          <w:lang w:val="es-CR"/>
        </w:rPr>
        <w:t xml:space="preserve">l Presidente Rodríguez manifestó que el candidato cumple los requisitos y ha tenido un desempeño satisfactorio acorde a las expectativas de apoyo a los países que integran la Silla. </w:t>
      </w:r>
      <w:r w:rsidR="0063189B" w:rsidRPr="00CA4E1B">
        <w:rPr>
          <w:rFonts w:ascii="Futura Lt BT" w:eastAsia="Futura Lt BT" w:hAnsi="Futura Lt BT" w:cs="Futura Lt BT"/>
          <w:lang w:val="es-CR"/>
        </w:rPr>
        <w:t xml:space="preserve">Los señores </w:t>
      </w:r>
      <w:r w:rsidR="007635BE">
        <w:rPr>
          <w:rFonts w:ascii="Futura Lt BT" w:eastAsia="Futura Lt BT" w:hAnsi="Futura Lt BT" w:cs="Futura Lt BT"/>
          <w:lang w:val="es-CR"/>
        </w:rPr>
        <w:t xml:space="preserve">presidentes </w:t>
      </w:r>
      <w:r w:rsidR="0063189B" w:rsidRPr="00CA4E1B">
        <w:rPr>
          <w:rFonts w:ascii="Futura Lt BT" w:eastAsia="Futura Lt BT" w:hAnsi="Futura Lt BT" w:cs="Futura Lt BT"/>
          <w:lang w:val="es-CR"/>
        </w:rPr>
        <w:t xml:space="preserve">de los bancos centrales de Costa Rica, El Salvador, Guatemala y Honduras manifestaron su aprobación a la propuesta, resaltando el profesionalismo del candidato, por lo que se aprobó </w:t>
      </w:r>
      <w:r w:rsidR="007B76E6" w:rsidRPr="00CA4E1B">
        <w:rPr>
          <w:rFonts w:ascii="Futura Lt BT" w:eastAsia="Futura Lt BT" w:hAnsi="Futura Lt BT" w:cs="Futura Lt BT"/>
          <w:lang w:val="es-CR"/>
        </w:rPr>
        <w:t xml:space="preserve">en forma unánime </w:t>
      </w:r>
      <w:r w:rsidR="0063189B" w:rsidRPr="00CA4E1B">
        <w:rPr>
          <w:rFonts w:ascii="Futura Lt BT" w:eastAsia="Futura Lt BT" w:hAnsi="Futura Lt BT" w:cs="Futura Lt BT"/>
          <w:lang w:val="es-CR"/>
        </w:rPr>
        <w:t xml:space="preserve">el Acuerdo CMCA 140-03-21, el cual se anexa a la presente acta, </w:t>
      </w:r>
      <w:r w:rsidR="006B2858">
        <w:rPr>
          <w:rFonts w:ascii="Futura Lt BT" w:eastAsia="Futura Lt BT" w:hAnsi="Futura Lt BT" w:cs="Futura Lt BT"/>
          <w:lang w:val="es-CR"/>
        </w:rPr>
        <w:t>designando</w:t>
      </w:r>
      <w:r w:rsidR="0063189B" w:rsidRPr="00CA4E1B">
        <w:rPr>
          <w:rFonts w:ascii="Futura Lt BT" w:eastAsia="Futura Lt BT" w:hAnsi="Futura Lt BT" w:cs="Futura Lt BT"/>
          <w:lang w:val="es-CR"/>
        </w:rPr>
        <w:t xml:space="preserve"> a Edgar </w:t>
      </w:r>
      <w:r w:rsidR="0063189B" w:rsidRPr="00CA4E1B">
        <w:rPr>
          <w:rFonts w:ascii="Futura Lt BT" w:hAnsi="Futura Lt BT"/>
          <w:lang w:val="es-CR"/>
        </w:rPr>
        <w:t>Rolando Cartagena Guardado</w:t>
      </w:r>
      <w:r w:rsidR="0063189B" w:rsidRPr="00CA4E1B">
        <w:rPr>
          <w:rFonts w:ascii="Futura Lt BT" w:eastAsia="Futura Lt BT" w:hAnsi="Futura Lt BT" w:cs="Futura Lt BT"/>
          <w:lang w:val="es-CR"/>
        </w:rPr>
        <w:t xml:space="preserve"> para ese cargo</w:t>
      </w:r>
      <w:r w:rsidR="007635BE">
        <w:rPr>
          <w:rFonts w:ascii="Futura Lt BT" w:eastAsia="Futura Lt BT" w:hAnsi="Futura Lt BT" w:cs="Futura Lt BT"/>
          <w:lang w:val="es-CR"/>
        </w:rPr>
        <w:t>,</w:t>
      </w:r>
      <w:r w:rsidR="0063189B" w:rsidRPr="00CA4E1B">
        <w:rPr>
          <w:rFonts w:ascii="Futura Lt BT" w:eastAsia="Futura Lt BT" w:hAnsi="Futura Lt BT" w:cs="Futura Lt BT"/>
          <w:lang w:val="es-CR"/>
        </w:rPr>
        <w:t xml:space="preserve"> </w:t>
      </w:r>
      <w:r w:rsidR="0063189B" w:rsidRPr="00CA4E1B">
        <w:rPr>
          <w:rFonts w:ascii="Futura Lt BT" w:hAnsi="Futura Lt BT"/>
          <w:lang w:val="es-CR"/>
        </w:rPr>
        <w:t>para el período comprendido entre el 1 de julio de 2021 y el 30 de junio de 2023</w:t>
      </w:r>
      <w:r w:rsidR="0063189B" w:rsidRPr="00CA4E1B">
        <w:rPr>
          <w:rFonts w:ascii="Futura Lt BT" w:eastAsia="Futura Lt BT" w:hAnsi="Futura Lt BT" w:cs="Futura Lt BT"/>
          <w:lang w:val="es-CR"/>
        </w:rPr>
        <w:t xml:space="preserve">. </w:t>
      </w:r>
    </w:p>
    <w:p w14:paraId="3C18AAAC" w14:textId="3C2A7844" w:rsidR="0063189B" w:rsidRPr="00CA4E1B" w:rsidRDefault="0063189B" w:rsidP="0063189B">
      <w:pPr>
        <w:pStyle w:val="Body"/>
        <w:spacing w:before="100" w:after="100" w:line="240" w:lineRule="auto"/>
        <w:ind w:firstLine="709"/>
        <w:jc w:val="both"/>
        <w:rPr>
          <w:rFonts w:ascii="Futura Lt BT" w:eastAsia="Futura Lt BT" w:hAnsi="Futura Lt BT" w:cs="Futura Lt BT"/>
          <w:lang w:val="es-CR"/>
        </w:rPr>
      </w:pPr>
      <w:r w:rsidRPr="00CA4E1B">
        <w:rPr>
          <w:rFonts w:ascii="Futura Lt BT" w:eastAsia="Futura Lt BT" w:hAnsi="Futura Lt BT" w:cs="Futura Lt BT"/>
          <w:lang w:val="es-CR"/>
        </w:rPr>
        <w:t xml:space="preserve">Luego el </w:t>
      </w:r>
      <w:r w:rsidR="005A3727" w:rsidRPr="00CA4E1B">
        <w:rPr>
          <w:rFonts w:ascii="Futura Lt BT" w:eastAsia="Futura Lt BT" w:hAnsi="Futura Lt BT" w:cs="Futura Lt BT"/>
          <w:lang w:val="es-CR"/>
        </w:rPr>
        <w:t xml:space="preserve">Secretario Ejecutivo presentó la candidatura realizada por </w:t>
      </w:r>
      <w:r w:rsidRPr="00CA4E1B">
        <w:rPr>
          <w:rFonts w:ascii="Futura Lt BT" w:eastAsia="Futura Lt BT" w:hAnsi="Futura Lt BT" w:cs="Futura Lt BT"/>
          <w:lang w:val="es-CR"/>
        </w:rPr>
        <w:t>el B</w:t>
      </w:r>
      <w:r w:rsidR="007635BE">
        <w:rPr>
          <w:rFonts w:ascii="Futura Lt BT" w:eastAsia="Futura Lt BT" w:hAnsi="Futura Lt BT" w:cs="Futura Lt BT"/>
          <w:lang w:val="es-CR"/>
        </w:rPr>
        <w:t>CCR</w:t>
      </w:r>
      <w:r w:rsidRPr="00CA4E1B">
        <w:rPr>
          <w:rFonts w:ascii="Futura Lt BT" w:eastAsia="Futura Lt BT" w:hAnsi="Futura Lt BT" w:cs="Futura Lt BT"/>
          <w:lang w:val="es-CR"/>
        </w:rPr>
        <w:t xml:space="preserve"> de la señora </w:t>
      </w:r>
      <w:r w:rsidRPr="00CA4E1B">
        <w:rPr>
          <w:rFonts w:ascii="Futura Lt BT" w:hAnsi="Futura Lt BT"/>
          <w:lang w:val="es-CR"/>
        </w:rPr>
        <w:t xml:space="preserve">Valerie Ann </w:t>
      </w:r>
      <w:proofErr w:type="spellStart"/>
      <w:r w:rsidRPr="00CA4E1B">
        <w:rPr>
          <w:rFonts w:ascii="Futura Lt BT" w:hAnsi="Futura Lt BT"/>
          <w:lang w:val="es-CR"/>
        </w:rPr>
        <w:t>Lankester</w:t>
      </w:r>
      <w:proofErr w:type="spellEnd"/>
      <w:r w:rsidRPr="00CA4E1B">
        <w:rPr>
          <w:rFonts w:ascii="Futura Lt BT" w:hAnsi="Futura Lt BT"/>
          <w:lang w:val="es-CR"/>
        </w:rPr>
        <w:t xml:space="preserve"> Campos para desempeñar el puesto de Asesora</w:t>
      </w:r>
      <w:r w:rsidRPr="00CA4E1B">
        <w:rPr>
          <w:rFonts w:ascii="Futura Lt BT" w:eastAsia="Futura Lt BT" w:hAnsi="Futura Lt BT" w:cs="Futura Lt BT"/>
          <w:lang w:val="es-CR"/>
        </w:rPr>
        <w:t xml:space="preserve"> ante el FMI para el periodo 2021-2023</w:t>
      </w:r>
      <w:r w:rsidR="005A3727" w:rsidRPr="00CA4E1B">
        <w:rPr>
          <w:rFonts w:ascii="Futura Lt BT" w:eastAsia="Futura Lt BT" w:hAnsi="Futura Lt BT" w:cs="Futura Lt BT"/>
          <w:lang w:val="es-CR"/>
        </w:rPr>
        <w:t>. El Presidente del BCCR</w:t>
      </w:r>
      <w:r w:rsidRPr="00CA4E1B">
        <w:rPr>
          <w:rFonts w:ascii="Futura Lt BT" w:hAnsi="Futura Lt BT"/>
          <w:lang w:val="es-CR"/>
        </w:rPr>
        <w:t xml:space="preserve"> manifest</w:t>
      </w:r>
      <w:r w:rsidR="005A3727" w:rsidRPr="00CA4E1B">
        <w:rPr>
          <w:rFonts w:ascii="Futura Lt BT" w:hAnsi="Futura Lt BT"/>
          <w:lang w:val="es-CR"/>
        </w:rPr>
        <w:t>ó</w:t>
      </w:r>
      <w:r w:rsidRPr="00CA4E1B">
        <w:rPr>
          <w:rFonts w:ascii="Futura Lt BT" w:hAnsi="Futura Lt BT"/>
          <w:lang w:val="es-CR"/>
        </w:rPr>
        <w:t xml:space="preserve"> que </w:t>
      </w:r>
      <w:r w:rsidR="00B608E5" w:rsidRPr="00CA4E1B">
        <w:rPr>
          <w:rFonts w:ascii="Futura Lt BT" w:eastAsia="Futura Lt BT" w:hAnsi="Futura Lt BT" w:cs="Futura Lt BT"/>
          <w:lang w:val="es-CR"/>
        </w:rPr>
        <w:t xml:space="preserve">la licenciada </w:t>
      </w:r>
      <w:proofErr w:type="spellStart"/>
      <w:r w:rsidR="00B608E5" w:rsidRPr="00CA4E1B">
        <w:rPr>
          <w:rFonts w:ascii="Futura Lt BT" w:eastAsia="Futura Lt BT" w:hAnsi="Futura Lt BT" w:cs="Futura Lt BT"/>
          <w:lang w:val="es-CR"/>
        </w:rPr>
        <w:t>Lankester</w:t>
      </w:r>
      <w:proofErr w:type="spellEnd"/>
      <w:r w:rsidR="00B608E5" w:rsidRPr="00CA4E1B">
        <w:rPr>
          <w:rFonts w:ascii="Futura Lt BT" w:eastAsia="Futura Lt BT" w:hAnsi="Futura Lt BT" w:cs="Futura Lt BT"/>
          <w:lang w:val="es-CR"/>
        </w:rPr>
        <w:t xml:space="preserve"> posee vasta trayectoria y experiencia profesional</w:t>
      </w:r>
      <w:r w:rsidR="00B608E5" w:rsidRPr="00CA4E1B">
        <w:rPr>
          <w:rFonts w:ascii="Futura Lt BT" w:hAnsi="Futura Lt BT"/>
          <w:lang w:val="es-CR"/>
        </w:rPr>
        <w:t xml:space="preserve"> y </w:t>
      </w:r>
      <w:r w:rsidRPr="00CA4E1B">
        <w:rPr>
          <w:rFonts w:ascii="Futura Lt BT" w:hAnsi="Futura Lt BT"/>
          <w:lang w:val="es-CR"/>
        </w:rPr>
        <w:t xml:space="preserve">cumple los requisitos y reúne las calidades idóneas para ejercer dicho cargo en representación de los países centroamericanos integrantes de la silla </w:t>
      </w:r>
      <w:r w:rsidR="007635BE" w:rsidRPr="00CA4E1B">
        <w:rPr>
          <w:rFonts w:ascii="Futura Lt BT" w:hAnsi="Futura Lt BT"/>
          <w:lang w:val="es-CR"/>
        </w:rPr>
        <w:t xml:space="preserve">ya señalada </w:t>
      </w:r>
      <w:r w:rsidRPr="00CA4E1B">
        <w:rPr>
          <w:rFonts w:ascii="Futura Lt BT" w:hAnsi="Futura Lt BT"/>
          <w:lang w:val="es-CR"/>
        </w:rPr>
        <w:t>en el FMI</w:t>
      </w:r>
      <w:r w:rsidRPr="00CA4E1B">
        <w:rPr>
          <w:rFonts w:ascii="Futura Lt BT" w:eastAsia="Futura Lt BT" w:hAnsi="Futura Lt BT" w:cs="Futura Lt BT"/>
          <w:lang w:val="es-CR"/>
        </w:rPr>
        <w:t xml:space="preserve">. Los señores </w:t>
      </w:r>
      <w:r w:rsidR="007635BE">
        <w:rPr>
          <w:rFonts w:ascii="Futura Lt BT" w:eastAsia="Futura Lt BT" w:hAnsi="Futura Lt BT" w:cs="Futura Lt BT"/>
          <w:lang w:val="es-CR"/>
        </w:rPr>
        <w:t>presidentes</w:t>
      </w:r>
      <w:r w:rsidRPr="00CA4E1B">
        <w:rPr>
          <w:rFonts w:ascii="Futura Lt BT" w:eastAsia="Futura Lt BT" w:hAnsi="Futura Lt BT" w:cs="Futura Lt BT"/>
          <w:lang w:val="es-CR"/>
        </w:rPr>
        <w:t xml:space="preserve"> de los bancos centrales de Costa Rica, El Salvador, Guatemala y Honduras </w:t>
      </w:r>
      <w:r w:rsidRPr="00CA4E1B">
        <w:rPr>
          <w:rFonts w:ascii="Futura Lt BT" w:eastAsia="Futura Lt BT" w:hAnsi="Futura Lt BT" w:cs="Futura Lt BT"/>
          <w:lang w:val="es-CR"/>
        </w:rPr>
        <w:lastRenderedPageBreak/>
        <w:t xml:space="preserve">manifestaron su aprobación a la propuesta, por lo que se aprobó </w:t>
      </w:r>
      <w:r w:rsidR="00527E5C" w:rsidRPr="00CA4E1B">
        <w:rPr>
          <w:rFonts w:ascii="Futura Lt BT" w:eastAsia="Futura Lt BT" w:hAnsi="Futura Lt BT" w:cs="Futura Lt BT"/>
          <w:lang w:val="es-CR"/>
        </w:rPr>
        <w:t xml:space="preserve">en forma unánime </w:t>
      </w:r>
      <w:r w:rsidRPr="00CA4E1B">
        <w:rPr>
          <w:rFonts w:ascii="Futura Lt BT" w:eastAsia="Futura Lt BT" w:hAnsi="Futura Lt BT" w:cs="Futura Lt BT"/>
          <w:lang w:val="es-CR"/>
        </w:rPr>
        <w:t xml:space="preserve">el Acuerdo CMCA 141-11-20, el cual se anexa a la presente acta, mediante el cual se designó a la señora </w:t>
      </w:r>
      <w:r w:rsidRPr="00CA4E1B">
        <w:rPr>
          <w:rFonts w:ascii="Futura Lt BT" w:hAnsi="Futura Lt BT"/>
          <w:lang w:val="es-CR"/>
        </w:rPr>
        <w:t xml:space="preserve">Valerie Ann </w:t>
      </w:r>
      <w:proofErr w:type="spellStart"/>
      <w:r w:rsidRPr="00CA4E1B">
        <w:rPr>
          <w:rFonts w:ascii="Futura Lt BT" w:hAnsi="Futura Lt BT"/>
          <w:lang w:val="es-CR"/>
        </w:rPr>
        <w:t>Lankester</w:t>
      </w:r>
      <w:proofErr w:type="spellEnd"/>
      <w:r w:rsidRPr="00CA4E1B">
        <w:rPr>
          <w:rFonts w:ascii="Futura Lt BT" w:hAnsi="Futura Lt BT"/>
          <w:lang w:val="es-CR"/>
        </w:rPr>
        <w:t xml:space="preserve"> Campos para </w:t>
      </w:r>
      <w:r w:rsidR="00B608E5" w:rsidRPr="00CA4E1B">
        <w:rPr>
          <w:rFonts w:ascii="Futura Lt BT" w:hAnsi="Futura Lt BT"/>
          <w:lang w:val="es-CR"/>
        </w:rPr>
        <w:t>ese</w:t>
      </w:r>
      <w:r w:rsidRPr="00CA4E1B">
        <w:rPr>
          <w:rFonts w:ascii="Futura Lt BT" w:hAnsi="Futura Lt BT"/>
          <w:lang w:val="es-CR"/>
        </w:rPr>
        <w:t xml:space="preserve"> cargo</w:t>
      </w:r>
      <w:r w:rsidR="007635BE">
        <w:rPr>
          <w:rFonts w:ascii="Futura Lt BT" w:hAnsi="Futura Lt BT"/>
          <w:lang w:val="es-CR"/>
        </w:rPr>
        <w:t>,</w:t>
      </w:r>
      <w:r w:rsidRPr="00CA4E1B">
        <w:rPr>
          <w:rFonts w:ascii="Futura Lt BT" w:hAnsi="Futura Lt BT"/>
          <w:lang w:val="es-CR"/>
        </w:rPr>
        <w:t xml:space="preserve"> para el período comprendido entre el 1 de julio de 2021 y el 30 de junio de 2023</w:t>
      </w:r>
      <w:r w:rsidRPr="00CA4E1B">
        <w:rPr>
          <w:rFonts w:ascii="Futura Lt BT" w:eastAsia="Futura Lt BT" w:hAnsi="Futura Lt BT" w:cs="Futura Lt BT"/>
          <w:lang w:val="es-CR"/>
        </w:rPr>
        <w:t xml:space="preserve">. </w:t>
      </w:r>
    </w:p>
    <w:p w14:paraId="1214E3FF" w14:textId="7EA5E7C9" w:rsidR="00516B47" w:rsidRPr="00CA4E1B" w:rsidRDefault="0063189B" w:rsidP="00516B47">
      <w:pPr>
        <w:pStyle w:val="Body"/>
        <w:spacing w:before="100" w:after="100" w:line="240" w:lineRule="auto"/>
        <w:ind w:firstLine="709"/>
        <w:jc w:val="both"/>
        <w:rPr>
          <w:rFonts w:ascii="Futura Lt BT" w:eastAsia="Futura Lt BT" w:hAnsi="Futura Lt BT" w:cs="Futura Lt BT"/>
          <w:lang w:val="es-CR"/>
        </w:rPr>
      </w:pPr>
      <w:r w:rsidRPr="00CA4E1B">
        <w:rPr>
          <w:rFonts w:ascii="Futura Lt BT" w:eastAsia="Futura Lt BT" w:hAnsi="Futura Lt BT" w:cs="Futura Lt BT"/>
          <w:lang w:val="es-CR"/>
        </w:rPr>
        <w:t xml:space="preserve">La Secretaría indicó que las firmas correspondientes de ambos </w:t>
      </w:r>
      <w:r w:rsidR="00B608E5" w:rsidRPr="00CA4E1B">
        <w:rPr>
          <w:rFonts w:ascii="Futura Lt BT" w:eastAsia="Futura Lt BT" w:hAnsi="Futura Lt BT" w:cs="Futura Lt BT"/>
          <w:lang w:val="es-CR"/>
        </w:rPr>
        <w:t>A</w:t>
      </w:r>
      <w:r w:rsidRPr="00CA4E1B">
        <w:rPr>
          <w:rFonts w:ascii="Futura Lt BT" w:eastAsia="Futura Lt BT" w:hAnsi="Futura Lt BT" w:cs="Futura Lt BT"/>
          <w:lang w:val="es-CR"/>
        </w:rPr>
        <w:t>cuerdos se estarían tramitando por correo en los próximos días, y que se comunicar</w:t>
      </w:r>
      <w:r w:rsidR="00174117" w:rsidRPr="00CA4E1B">
        <w:rPr>
          <w:rFonts w:ascii="Futura Lt BT" w:eastAsia="Futura Lt BT" w:hAnsi="Futura Lt BT" w:cs="Futura Lt BT"/>
          <w:lang w:val="es-CR"/>
        </w:rPr>
        <w:t>á</w:t>
      </w:r>
      <w:r w:rsidRPr="00CA4E1B">
        <w:rPr>
          <w:rFonts w:ascii="Futura Lt BT" w:eastAsia="Futura Lt BT" w:hAnsi="Futura Lt BT" w:cs="Futura Lt BT"/>
          <w:lang w:val="es-CR"/>
        </w:rPr>
        <w:t xml:space="preserve"> al FMI de inmediato con el fin de que éste pueda proceder a los trámites pertinentes. </w:t>
      </w:r>
    </w:p>
    <w:p w14:paraId="21167B61" w14:textId="77777777" w:rsidR="00516B47" w:rsidRPr="00CA4E1B" w:rsidRDefault="00516B47" w:rsidP="00516B47">
      <w:pPr>
        <w:pStyle w:val="Body"/>
        <w:spacing w:before="100" w:after="100" w:line="240" w:lineRule="auto"/>
        <w:jc w:val="both"/>
        <w:rPr>
          <w:rFonts w:ascii="Futura Lt BT" w:eastAsia="Futura Lt BT" w:hAnsi="Futura Lt BT" w:cs="Futura Lt BT"/>
          <w:lang w:val="es-CR"/>
        </w:rPr>
      </w:pPr>
    </w:p>
    <w:p w14:paraId="7BC47DF8" w14:textId="7E551513" w:rsidR="000E4E08" w:rsidRPr="00CA4E1B" w:rsidRDefault="0063189B" w:rsidP="00516B47">
      <w:pPr>
        <w:pStyle w:val="Body"/>
        <w:spacing w:before="100" w:after="100" w:line="240" w:lineRule="auto"/>
        <w:jc w:val="both"/>
        <w:rPr>
          <w:rFonts w:ascii="Futura Lt BT" w:eastAsia="Futura Lt BT" w:hAnsi="Futura Lt BT" w:cs="Futura Lt BT"/>
          <w:lang w:val="es-CR"/>
        </w:rPr>
      </w:pPr>
      <w:r w:rsidRPr="00CA4E1B">
        <w:rPr>
          <w:rFonts w:ascii="Futura Lt BT" w:eastAsia="Futura Lt BT" w:hAnsi="Futura Lt BT" w:cs="Futura Lt BT"/>
          <w:b/>
          <w:bCs/>
          <w:lang w:val="es-CR"/>
        </w:rPr>
        <w:t>QUINTO:</w:t>
      </w:r>
      <w:r w:rsidR="00574076" w:rsidRPr="00CA4E1B">
        <w:rPr>
          <w:rFonts w:ascii="Futura Lt BT" w:eastAsia="Futura Lt BT" w:hAnsi="Futura Lt BT" w:cs="Futura Lt BT"/>
          <w:b/>
          <w:bCs/>
          <w:lang w:val="es-CR"/>
        </w:rPr>
        <w:t xml:space="preserve"> </w:t>
      </w:r>
      <w:r w:rsidR="000E4E08" w:rsidRPr="00CA4E1B">
        <w:rPr>
          <w:rFonts w:ascii="Futura Lt BT" w:eastAsia="Futura Lt BT" w:hAnsi="Futura Lt BT" w:cs="Futura Lt BT"/>
          <w:b/>
          <w:bCs/>
          <w:lang w:val="es-CR"/>
        </w:rPr>
        <w:t>Contexto macroeconómico regional.</w:t>
      </w:r>
    </w:p>
    <w:p w14:paraId="3C2199D1" w14:textId="77777777" w:rsidR="000E4E08" w:rsidRPr="00CA4E1B" w:rsidRDefault="000E4E08" w:rsidP="00F2576C">
      <w:pPr>
        <w:pStyle w:val="Body"/>
        <w:spacing w:before="120" w:after="240" w:line="240" w:lineRule="auto"/>
        <w:ind w:firstLine="709"/>
        <w:jc w:val="both"/>
        <w:rPr>
          <w:rFonts w:ascii="Futura Lt BT" w:eastAsia="Futura Lt BT" w:hAnsi="Futura Lt BT" w:cs="Futura Lt BT"/>
          <w:lang w:val="es-CR"/>
        </w:rPr>
      </w:pPr>
      <w:r w:rsidRPr="00CA4E1B">
        <w:rPr>
          <w:rFonts w:ascii="Futura Lt BT" w:eastAsia="Futura Lt BT" w:hAnsi="Futura Lt BT" w:cs="Futura Lt BT"/>
          <w:lang w:val="es-CR"/>
        </w:rPr>
        <w:t xml:space="preserve">A continuación, cada uno de los miembros del Consejo hizo una presentación de la situación de la economía de su país. </w:t>
      </w:r>
    </w:p>
    <w:p w14:paraId="6175C474" w14:textId="4AE034F4" w:rsidR="00B7247F" w:rsidRPr="00CA4E1B" w:rsidRDefault="00EF49B6" w:rsidP="00EF49B6">
      <w:pPr>
        <w:pStyle w:val="Body"/>
        <w:spacing w:before="120" w:after="240" w:line="240" w:lineRule="auto"/>
        <w:ind w:firstLine="709"/>
        <w:jc w:val="both"/>
        <w:rPr>
          <w:rFonts w:ascii="Futura Lt BT" w:eastAsia="Futura Lt BT" w:hAnsi="Futura Lt BT" w:cs="Futura Lt BT"/>
          <w:lang w:val="es-CR"/>
        </w:rPr>
      </w:pPr>
      <w:r w:rsidRPr="00CA4E1B">
        <w:rPr>
          <w:rFonts w:ascii="Futura Lt BT" w:eastAsia="Futura Lt BT" w:hAnsi="Futura Lt BT" w:cs="Futura Lt BT"/>
          <w:lang w:val="es-CR"/>
        </w:rPr>
        <w:t xml:space="preserve">El Gobernador del Banco Central de República Dominicana, señor Héctor Valdez Albizu, </w:t>
      </w:r>
      <w:r w:rsidR="00D339DD" w:rsidRPr="00CA4E1B">
        <w:rPr>
          <w:rFonts w:ascii="Futura Lt BT" w:eastAsia="Futura Lt BT" w:hAnsi="Futura Lt BT" w:cs="Futura Lt BT"/>
          <w:lang w:val="es-CR"/>
        </w:rPr>
        <w:t xml:space="preserve">analizó el impacto de la pandemia sobre la economía dominicana, las medidas de política económica implementadas y las perspectivas a futuro. </w:t>
      </w:r>
      <w:r w:rsidR="00F1307F">
        <w:rPr>
          <w:rFonts w:ascii="Futura Lt BT" w:eastAsia="Futura Lt BT" w:hAnsi="Futura Lt BT" w:cs="Futura Lt BT"/>
          <w:lang w:val="es-CR"/>
        </w:rPr>
        <w:t>Señaló que l</w:t>
      </w:r>
      <w:r w:rsidR="00D339DD" w:rsidRPr="00CA4E1B">
        <w:rPr>
          <w:rFonts w:ascii="Futura Lt BT" w:eastAsia="Futura Lt BT" w:hAnsi="Futura Lt BT" w:cs="Futura Lt BT"/>
          <w:lang w:val="es-CR"/>
        </w:rPr>
        <w:t>as medidas implementadas para moderar la propagación del virus provocaron una ralentización significativa de la economía dominicana a partir de marzo del año pasado</w:t>
      </w:r>
      <w:r w:rsidR="00F1307F">
        <w:rPr>
          <w:rFonts w:ascii="Futura Lt BT" w:eastAsia="Futura Lt BT" w:hAnsi="Futura Lt BT" w:cs="Futura Lt BT"/>
          <w:lang w:val="es-CR"/>
        </w:rPr>
        <w:t>; p</w:t>
      </w:r>
      <w:r w:rsidR="00D339DD" w:rsidRPr="00CA4E1B">
        <w:rPr>
          <w:rFonts w:ascii="Futura Lt BT" w:eastAsia="Futura Lt BT" w:hAnsi="Futura Lt BT" w:cs="Futura Lt BT"/>
          <w:lang w:val="es-CR"/>
        </w:rPr>
        <w:t xml:space="preserve">ero la acción coordinada de la política monetaria y fiscal </w:t>
      </w:r>
      <w:r w:rsidR="007D366C" w:rsidRPr="00CA4E1B">
        <w:rPr>
          <w:rFonts w:ascii="Futura Lt BT" w:eastAsia="Futura Lt BT" w:hAnsi="Futura Lt BT" w:cs="Futura Lt BT"/>
          <w:lang w:val="es-CR"/>
        </w:rPr>
        <w:t>h</w:t>
      </w:r>
      <w:r w:rsidR="0054335D" w:rsidRPr="00CA4E1B">
        <w:rPr>
          <w:rFonts w:ascii="Futura Lt BT" w:eastAsia="Futura Lt BT" w:hAnsi="Futura Lt BT" w:cs="Futura Lt BT"/>
          <w:lang w:val="es-CR"/>
        </w:rPr>
        <w:t>a contribuido a la recuperación sostenida de la economía dominicana</w:t>
      </w:r>
      <w:r w:rsidR="00F1307F">
        <w:rPr>
          <w:rFonts w:ascii="Futura Lt BT" w:eastAsia="Futura Lt BT" w:hAnsi="Futura Lt BT" w:cs="Futura Lt BT"/>
          <w:lang w:val="es-CR"/>
        </w:rPr>
        <w:t>,</w:t>
      </w:r>
      <w:r w:rsidR="0054335D" w:rsidRPr="00CA4E1B">
        <w:rPr>
          <w:rFonts w:ascii="Futura Lt BT" w:eastAsia="Futura Lt BT" w:hAnsi="Futura Lt BT" w:cs="Futura Lt BT"/>
          <w:lang w:val="es-CR"/>
        </w:rPr>
        <w:t xml:space="preserve"> a</w:t>
      </w:r>
      <w:r w:rsidR="000A297A" w:rsidRPr="00CA4E1B">
        <w:rPr>
          <w:rFonts w:ascii="Futura Lt BT" w:eastAsia="Futura Lt BT" w:hAnsi="Futura Lt BT" w:cs="Futura Lt BT"/>
          <w:lang w:val="es-CR"/>
        </w:rPr>
        <w:t>l</w:t>
      </w:r>
      <w:r w:rsidR="0054335D" w:rsidRPr="00CA4E1B">
        <w:rPr>
          <w:rFonts w:ascii="Futura Lt BT" w:eastAsia="Futura Lt BT" w:hAnsi="Futura Lt BT" w:cs="Futura Lt BT"/>
          <w:lang w:val="es-CR"/>
        </w:rPr>
        <w:t xml:space="preserve"> registrarse una variación interanual </w:t>
      </w:r>
      <w:r w:rsidR="0073019B" w:rsidRPr="00CA4E1B">
        <w:rPr>
          <w:rFonts w:ascii="Futura Lt BT" w:eastAsia="Futura Lt BT" w:hAnsi="Futura Lt BT" w:cs="Futura Lt BT"/>
          <w:lang w:val="es-CR"/>
        </w:rPr>
        <w:t xml:space="preserve">en diciembre </w:t>
      </w:r>
      <w:r w:rsidR="0054335D" w:rsidRPr="00CA4E1B">
        <w:rPr>
          <w:rFonts w:ascii="Futura Lt BT" w:eastAsia="Futura Lt BT" w:hAnsi="Futura Lt BT" w:cs="Futura Lt BT"/>
          <w:lang w:val="es-CR"/>
        </w:rPr>
        <w:t xml:space="preserve">de -1%, mejoría </w:t>
      </w:r>
      <w:r w:rsidR="0073019B" w:rsidRPr="00CA4E1B">
        <w:rPr>
          <w:rFonts w:ascii="Futura Lt BT" w:eastAsia="Futura Lt BT" w:hAnsi="Futura Lt BT" w:cs="Futura Lt BT"/>
          <w:lang w:val="es-CR"/>
        </w:rPr>
        <w:t xml:space="preserve">significativa </w:t>
      </w:r>
      <w:r w:rsidR="000A297A" w:rsidRPr="00CA4E1B">
        <w:rPr>
          <w:rFonts w:ascii="Futura Lt BT" w:eastAsia="Futura Lt BT" w:hAnsi="Futura Lt BT" w:cs="Futura Lt BT"/>
          <w:lang w:val="es-CR"/>
        </w:rPr>
        <w:t xml:space="preserve">con respecto </w:t>
      </w:r>
      <w:r w:rsidR="0073019B" w:rsidRPr="00CA4E1B">
        <w:rPr>
          <w:rFonts w:ascii="Futura Lt BT" w:eastAsia="Futura Lt BT" w:hAnsi="Futura Lt BT" w:cs="Futura Lt BT"/>
          <w:lang w:val="es-CR"/>
        </w:rPr>
        <w:t>a la caída de abril que fue -2</w:t>
      </w:r>
      <w:r w:rsidR="00A47C06" w:rsidRPr="00CA4E1B">
        <w:rPr>
          <w:rFonts w:ascii="Futura Lt BT" w:eastAsia="Futura Lt BT" w:hAnsi="Futura Lt BT" w:cs="Futura Lt BT"/>
          <w:lang w:val="es-CR"/>
        </w:rPr>
        <w:t>9.</w:t>
      </w:r>
      <w:r w:rsidR="0073019B" w:rsidRPr="00CA4E1B">
        <w:rPr>
          <w:rFonts w:ascii="Futura Lt BT" w:eastAsia="Futura Lt BT" w:hAnsi="Futura Lt BT" w:cs="Futura Lt BT"/>
          <w:lang w:val="es-CR"/>
        </w:rPr>
        <w:t>8%</w:t>
      </w:r>
      <w:r w:rsidR="000A297A" w:rsidRPr="00CA4E1B">
        <w:rPr>
          <w:rFonts w:ascii="Futura Lt BT" w:eastAsia="Futura Lt BT" w:hAnsi="Futura Lt BT" w:cs="Futura Lt BT"/>
          <w:lang w:val="es-CR"/>
        </w:rPr>
        <w:t xml:space="preserve"> del IMAE, </w:t>
      </w:r>
      <w:r w:rsidR="00F1307F">
        <w:rPr>
          <w:rFonts w:ascii="Futura Lt BT" w:eastAsia="Futura Lt BT" w:hAnsi="Futura Lt BT" w:cs="Futura Lt BT"/>
          <w:lang w:val="es-CR"/>
        </w:rPr>
        <w:t xml:space="preserve">en </w:t>
      </w:r>
      <w:r w:rsidR="000A297A" w:rsidRPr="00CA4E1B">
        <w:rPr>
          <w:rFonts w:ascii="Futura Lt BT" w:eastAsia="Futura Lt BT" w:hAnsi="Futura Lt BT" w:cs="Futura Lt BT"/>
          <w:lang w:val="es-CR"/>
        </w:rPr>
        <w:t>el punto más crítico</w:t>
      </w:r>
      <w:r w:rsidR="00F1307F">
        <w:rPr>
          <w:rFonts w:ascii="Futura Lt BT" w:eastAsia="Futura Lt BT" w:hAnsi="Futura Lt BT" w:cs="Futura Lt BT"/>
          <w:lang w:val="es-CR"/>
        </w:rPr>
        <w:t>,</w:t>
      </w:r>
      <w:r w:rsidR="000A297A" w:rsidRPr="00CA4E1B">
        <w:rPr>
          <w:rFonts w:ascii="Futura Lt BT" w:eastAsia="Futura Lt BT" w:hAnsi="Futura Lt BT" w:cs="Futura Lt BT"/>
          <w:lang w:val="es-CR"/>
        </w:rPr>
        <w:t xml:space="preserve"> con la economía paralizada. </w:t>
      </w:r>
      <w:r w:rsidR="00F1307F">
        <w:rPr>
          <w:rFonts w:ascii="Futura Lt BT" w:eastAsia="Futura Lt BT" w:hAnsi="Futura Lt BT" w:cs="Futura Lt BT"/>
          <w:lang w:val="es-CR"/>
        </w:rPr>
        <w:t xml:space="preserve">Entre </w:t>
      </w:r>
      <w:r w:rsidR="000A297A" w:rsidRPr="00CA4E1B">
        <w:rPr>
          <w:rFonts w:ascii="Futura Lt BT" w:eastAsia="Futura Lt BT" w:hAnsi="Futura Lt BT" w:cs="Futura Lt BT"/>
          <w:lang w:val="es-CR"/>
        </w:rPr>
        <w:t>las actividades que han demostrado mayor dinamismo destacan las zonas francas, que han crecido 13.6%, la salud 11.7%, la manufactura local 4.5%, construcción 4%</w:t>
      </w:r>
      <w:r w:rsidR="008E5771">
        <w:rPr>
          <w:rFonts w:ascii="Futura Lt BT" w:eastAsia="Futura Lt BT" w:hAnsi="Futura Lt BT" w:cs="Futura Lt BT"/>
          <w:lang w:val="es-CR"/>
        </w:rPr>
        <w:t xml:space="preserve"> y</w:t>
      </w:r>
      <w:r w:rsidR="000A297A" w:rsidRPr="00CA4E1B">
        <w:rPr>
          <w:rFonts w:ascii="Futura Lt BT" w:eastAsia="Futura Lt BT" w:hAnsi="Futura Lt BT" w:cs="Futura Lt BT"/>
          <w:lang w:val="es-CR"/>
        </w:rPr>
        <w:t xml:space="preserve"> comunicaciones 4%, entre otros. El crecimiento promedio durante el año se ubicó en -6.7%, proyectándose que</w:t>
      </w:r>
      <w:r w:rsidR="008E5771">
        <w:rPr>
          <w:rFonts w:ascii="Futura Lt BT" w:eastAsia="Futura Lt BT" w:hAnsi="Futura Lt BT" w:cs="Futura Lt BT"/>
          <w:lang w:val="es-CR"/>
        </w:rPr>
        <w:t>,</w:t>
      </w:r>
      <w:r w:rsidR="000A297A" w:rsidRPr="00CA4E1B">
        <w:rPr>
          <w:rFonts w:ascii="Futura Lt BT" w:eastAsia="Futura Lt BT" w:hAnsi="Futura Lt BT" w:cs="Futura Lt BT"/>
          <w:lang w:val="es-CR"/>
        </w:rPr>
        <w:t xml:space="preserve"> para 2021</w:t>
      </w:r>
      <w:r w:rsidR="008E5771">
        <w:rPr>
          <w:rFonts w:ascii="Futura Lt BT" w:eastAsia="Futura Lt BT" w:hAnsi="Futura Lt BT" w:cs="Futura Lt BT"/>
          <w:lang w:val="es-CR"/>
        </w:rPr>
        <w:t>,</w:t>
      </w:r>
      <w:r w:rsidR="000A297A" w:rsidRPr="00CA4E1B">
        <w:rPr>
          <w:rFonts w:ascii="Futura Lt BT" w:eastAsia="Futura Lt BT" w:hAnsi="Futura Lt BT" w:cs="Futura Lt BT"/>
          <w:lang w:val="es-CR"/>
        </w:rPr>
        <w:t xml:space="preserve"> se aceleraría el ritmo de recuperación, con una expansión </w:t>
      </w:r>
      <w:r w:rsidR="0086150F">
        <w:rPr>
          <w:rFonts w:ascii="Futura Lt BT" w:eastAsia="Futura Lt BT" w:hAnsi="Futura Lt BT" w:cs="Futura Lt BT"/>
          <w:lang w:val="es-CR"/>
        </w:rPr>
        <w:t xml:space="preserve">del PIB real </w:t>
      </w:r>
      <w:r w:rsidR="000A297A" w:rsidRPr="00CA4E1B">
        <w:rPr>
          <w:rFonts w:ascii="Futura Lt BT" w:eastAsia="Futura Lt BT" w:hAnsi="Futura Lt BT" w:cs="Futura Lt BT"/>
          <w:lang w:val="es-CR"/>
        </w:rPr>
        <w:t>que podría ubicarse en</w:t>
      </w:r>
      <w:r w:rsidR="00A47C06" w:rsidRPr="00CA4E1B">
        <w:rPr>
          <w:rFonts w:ascii="Futura Lt BT" w:eastAsia="Futura Lt BT" w:hAnsi="Futura Lt BT" w:cs="Futura Lt BT"/>
          <w:lang w:val="es-CR"/>
        </w:rPr>
        <w:t xml:space="preserve">tre </w:t>
      </w:r>
      <w:r w:rsidR="000A297A" w:rsidRPr="00CA4E1B">
        <w:rPr>
          <w:rFonts w:ascii="Futura Lt BT" w:eastAsia="Futura Lt BT" w:hAnsi="Futura Lt BT" w:cs="Futura Lt BT"/>
          <w:lang w:val="es-CR"/>
        </w:rPr>
        <w:t>5.5%</w:t>
      </w:r>
      <w:r w:rsidR="00A47C06" w:rsidRPr="00CA4E1B">
        <w:rPr>
          <w:rFonts w:ascii="Futura Lt BT" w:eastAsia="Futura Lt BT" w:hAnsi="Futura Lt BT" w:cs="Futura Lt BT"/>
          <w:lang w:val="es-CR"/>
        </w:rPr>
        <w:t xml:space="preserve"> y 6%, superior a su potencial, condicionado a los avances en el proceso de vacunación y a la recuperación gradual del turismo. </w:t>
      </w:r>
      <w:r w:rsidR="008E5771">
        <w:rPr>
          <w:rFonts w:ascii="Futura Lt BT" w:eastAsia="Futura Lt BT" w:hAnsi="Futura Lt BT" w:cs="Futura Lt BT"/>
          <w:lang w:val="es-CR"/>
        </w:rPr>
        <w:t>Indicó que e</w:t>
      </w:r>
      <w:r w:rsidR="00EE066D" w:rsidRPr="00CA4E1B">
        <w:rPr>
          <w:rFonts w:ascii="Futura Lt BT" w:eastAsia="Futura Lt BT" w:hAnsi="Futura Lt BT" w:cs="Futura Lt BT"/>
          <w:lang w:val="es-CR"/>
        </w:rPr>
        <w:t>s importante resaltar el rol del sistema financiero como canalizador de los recursos</w:t>
      </w:r>
      <w:r w:rsidR="008E5771">
        <w:rPr>
          <w:rFonts w:ascii="Futura Lt BT" w:eastAsia="Futura Lt BT" w:hAnsi="Futura Lt BT" w:cs="Futura Lt BT"/>
          <w:lang w:val="es-CR"/>
        </w:rPr>
        <w:t xml:space="preserve">, ya que </w:t>
      </w:r>
      <w:r w:rsidR="00EE066D" w:rsidRPr="00CA4E1B">
        <w:rPr>
          <w:rFonts w:ascii="Futura Lt BT" w:eastAsia="Futura Lt BT" w:hAnsi="Futura Lt BT" w:cs="Futura Lt BT"/>
          <w:lang w:val="es-CR"/>
        </w:rPr>
        <w:t>se dispuso un programa de provisión de liquidez de RS$215,814 millones (5% del PIB) para canalizar préstamos al sector privado a través de las entidades de intermediación financiera, de los cuales se han colocado RD$168,870 millones</w:t>
      </w:r>
      <w:r w:rsidR="00B7247F" w:rsidRPr="00CA4E1B">
        <w:rPr>
          <w:rFonts w:ascii="Futura Lt BT" w:eastAsia="Futura Lt BT" w:hAnsi="Futura Lt BT" w:cs="Futura Lt BT"/>
          <w:lang w:val="es-CR"/>
        </w:rPr>
        <w:t>, en 78</w:t>
      </w:r>
      <w:r w:rsidR="00D03FFF">
        <w:rPr>
          <w:rFonts w:ascii="Futura Lt BT" w:eastAsia="Futura Lt BT" w:hAnsi="Futura Lt BT" w:cs="Futura Lt BT"/>
          <w:lang w:val="es-CR"/>
        </w:rPr>
        <w:t>,</w:t>
      </w:r>
      <w:r w:rsidR="00B7247F" w:rsidRPr="00CA4E1B">
        <w:rPr>
          <w:rFonts w:ascii="Futura Lt BT" w:eastAsia="Futura Lt BT" w:hAnsi="Futura Lt BT" w:cs="Futura Lt BT"/>
          <w:lang w:val="es-CR"/>
        </w:rPr>
        <w:t xml:space="preserve">311 préstamos en todos los sectores. </w:t>
      </w:r>
      <w:r w:rsidR="0097093C">
        <w:rPr>
          <w:rFonts w:ascii="Futura Lt BT" w:eastAsia="Futura Lt BT" w:hAnsi="Futura Lt BT" w:cs="Futura Lt BT"/>
          <w:lang w:val="es-CR"/>
        </w:rPr>
        <w:t>Explicó que p</w:t>
      </w:r>
      <w:r w:rsidR="00B7247F" w:rsidRPr="00CA4E1B">
        <w:rPr>
          <w:rFonts w:ascii="Futura Lt BT" w:eastAsia="Futura Lt BT" w:hAnsi="Futura Lt BT" w:cs="Futura Lt BT"/>
          <w:lang w:val="es-CR"/>
        </w:rPr>
        <w:t xml:space="preserve">ara que un banco tenga acceso a esos recursos a un 3% de interés, debe dar al </w:t>
      </w:r>
      <w:r w:rsidR="0097093C">
        <w:rPr>
          <w:rFonts w:ascii="Futura Lt BT" w:eastAsia="Futura Lt BT" w:hAnsi="Futura Lt BT" w:cs="Futura Lt BT"/>
          <w:lang w:val="es-CR"/>
        </w:rPr>
        <w:t>BCRD</w:t>
      </w:r>
      <w:r w:rsidR="00B7247F" w:rsidRPr="00CA4E1B">
        <w:rPr>
          <w:rFonts w:ascii="Futura Lt BT" w:eastAsia="Futura Lt BT" w:hAnsi="Futura Lt BT" w:cs="Futura Lt BT"/>
          <w:lang w:val="es-CR"/>
        </w:rPr>
        <w:t xml:space="preserve"> en garantía títulos de </w:t>
      </w:r>
      <w:r w:rsidR="0097093C">
        <w:rPr>
          <w:rFonts w:ascii="Futura Lt BT" w:eastAsia="Futura Lt BT" w:hAnsi="Futura Lt BT" w:cs="Futura Lt BT"/>
          <w:lang w:val="es-CR"/>
        </w:rPr>
        <w:t>h</w:t>
      </w:r>
      <w:r w:rsidR="00B7247F" w:rsidRPr="00CA4E1B">
        <w:rPr>
          <w:rFonts w:ascii="Futura Lt BT" w:eastAsia="Futura Lt BT" w:hAnsi="Futura Lt BT" w:cs="Futura Lt BT"/>
          <w:lang w:val="es-CR"/>
        </w:rPr>
        <w:t xml:space="preserve">acienda o del banco central. </w:t>
      </w:r>
      <w:r w:rsidR="0097093C">
        <w:rPr>
          <w:rFonts w:ascii="Futura Lt BT" w:eastAsia="Futura Lt BT" w:hAnsi="Futura Lt BT" w:cs="Futura Lt BT"/>
          <w:lang w:val="es-CR"/>
        </w:rPr>
        <w:t>Asimismo, informó que h</w:t>
      </w:r>
      <w:r w:rsidR="00B7247F" w:rsidRPr="00CA4E1B">
        <w:rPr>
          <w:rFonts w:ascii="Futura Lt BT" w:eastAsia="Futura Lt BT" w:hAnsi="Futura Lt BT" w:cs="Futura Lt BT"/>
          <w:lang w:val="es-CR"/>
        </w:rPr>
        <w:t xml:space="preserve">ace una semana la Junta Monetaria decidió autorizar RD$25,000 millones adicionales, dirigidos al sector construcción, manufacturero, MIPYMES, hogares y comercio. </w:t>
      </w:r>
    </w:p>
    <w:p w14:paraId="27AFBA94" w14:textId="59BE89D5" w:rsidR="00260268" w:rsidRPr="00CA4E1B" w:rsidRDefault="00D466EC" w:rsidP="00EF49B6">
      <w:pPr>
        <w:pStyle w:val="Body"/>
        <w:spacing w:before="120" w:after="240" w:line="240" w:lineRule="auto"/>
        <w:ind w:firstLine="709"/>
        <w:jc w:val="both"/>
        <w:rPr>
          <w:rFonts w:ascii="Futura Lt BT" w:eastAsia="Futura Lt BT" w:hAnsi="Futura Lt BT" w:cs="Futura Lt BT"/>
          <w:lang w:val="es-CR"/>
        </w:rPr>
      </w:pPr>
      <w:r>
        <w:rPr>
          <w:rFonts w:ascii="Futura Lt BT" w:eastAsia="Futura Lt BT" w:hAnsi="Futura Lt BT" w:cs="Futura Lt BT"/>
          <w:lang w:val="es-CR"/>
        </w:rPr>
        <w:t>Comentó que e</w:t>
      </w:r>
      <w:r w:rsidR="00DC14C8" w:rsidRPr="00CA4E1B">
        <w:rPr>
          <w:rFonts w:ascii="Futura Lt BT" w:eastAsia="Futura Lt BT" w:hAnsi="Futura Lt BT" w:cs="Futura Lt BT"/>
          <w:lang w:val="es-CR"/>
        </w:rPr>
        <w:t xml:space="preserve">l </w:t>
      </w:r>
      <w:r>
        <w:rPr>
          <w:rFonts w:ascii="Futura Lt BT" w:eastAsia="Futura Lt BT" w:hAnsi="Futura Lt BT" w:cs="Futura Lt BT"/>
          <w:lang w:val="es-CR"/>
        </w:rPr>
        <w:t>G</w:t>
      </w:r>
      <w:r w:rsidR="00DC14C8" w:rsidRPr="00CA4E1B">
        <w:rPr>
          <w:rFonts w:ascii="Futura Lt BT" w:eastAsia="Futura Lt BT" w:hAnsi="Futura Lt BT" w:cs="Futura Lt BT"/>
          <w:lang w:val="es-CR"/>
        </w:rPr>
        <w:t xml:space="preserve">obierno ha implementado programas de asistencia a </w:t>
      </w:r>
      <w:r>
        <w:rPr>
          <w:rFonts w:ascii="Futura Lt BT" w:eastAsia="Futura Lt BT" w:hAnsi="Futura Lt BT" w:cs="Futura Lt BT"/>
          <w:lang w:val="es-CR"/>
        </w:rPr>
        <w:t xml:space="preserve">favor de </w:t>
      </w:r>
      <w:r w:rsidR="00DC14C8" w:rsidRPr="00CA4E1B">
        <w:rPr>
          <w:rFonts w:ascii="Futura Lt BT" w:eastAsia="Futura Lt BT" w:hAnsi="Futura Lt BT" w:cs="Futura Lt BT"/>
          <w:lang w:val="es-CR"/>
        </w:rPr>
        <w:t>los sectores que se quedaron sin trabajo. L</w:t>
      </w:r>
      <w:r w:rsidR="00AB02A0" w:rsidRPr="00CA4E1B">
        <w:rPr>
          <w:rFonts w:ascii="Futura Lt BT" w:eastAsia="Futura Lt BT" w:hAnsi="Futura Lt BT" w:cs="Futura Lt BT"/>
          <w:lang w:val="es-CR"/>
        </w:rPr>
        <w:t>a</w:t>
      </w:r>
      <w:r w:rsidR="00DC14C8" w:rsidRPr="00CA4E1B">
        <w:rPr>
          <w:rFonts w:ascii="Futura Lt BT" w:eastAsia="Futura Lt BT" w:hAnsi="Futura Lt BT" w:cs="Futura Lt BT"/>
          <w:lang w:val="es-CR"/>
        </w:rPr>
        <w:t xml:space="preserve"> política</w:t>
      </w:r>
      <w:r w:rsidR="00AB02A0" w:rsidRPr="00CA4E1B">
        <w:rPr>
          <w:rFonts w:ascii="Futura Lt BT" w:eastAsia="Futura Lt BT" w:hAnsi="Futura Lt BT" w:cs="Futura Lt BT"/>
          <w:lang w:val="es-CR"/>
        </w:rPr>
        <w:t xml:space="preserve"> fiscal se ha dedicado principalmente a preservar los empleos e ingresos de los sectores más vulnerables, a través de programas sociales y planes de apoyo a los sectores productivos e inicio de proyectos de infraestructura, construcción y vivienda. Adicionalmente, </w:t>
      </w:r>
      <w:r>
        <w:rPr>
          <w:rFonts w:ascii="Futura Lt BT" w:eastAsia="Futura Lt BT" w:hAnsi="Futura Lt BT" w:cs="Futura Lt BT"/>
          <w:lang w:val="es-CR"/>
        </w:rPr>
        <w:t xml:space="preserve">informó que </w:t>
      </w:r>
      <w:r w:rsidR="00AB02A0" w:rsidRPr="00CA4E1B">
        <w:rPr>
          <w:rFonts w:ascii="Futura Lt BT" w:eastAsia="Futura Lt BT" w:hAnsi="Futura Lt BT" w:cs="Futura Lt BT"/>
          <w:lang w:val="es-CR"/>
        </w:rPr>
        <w:t xml:space="preserve">se está implementando un programa masivo </w:t>
      </w:r>
      <w:r>
        <w:rPr>
          <w:rFonts w:ascii="Futura Lt BT" w:eastAsia="Futura Lt BT" w:hAnsi="Futura Lt BT" w:cs="Futura Lt BT"/>
          <w:lang w:val="es-CR"/>
        </w:rPr>
        <w:t xml:space="preserve">a nivel nacional </w:t>
      </w:r>
      <w:r w:rsidR="00AB02A0" w:rsidRPr="00CA4E1B">
        <w:rPr>
          <w:rFonts w:ascii="Futura Lt BT" w:eastAsia="Futura Lt BT" w:hAnsi="Futura Lt BT" w:cs="Futura Lt BT"/>
          <w:lang w:val="es-CR"/>
        </w:rPr>
        <w:t xml:space="preserve">de vacunación gratuita por fases, </w:t>
      </w:r>
      <w:r>
        <w:rPr>
          <w:rFonts w:ascii="Futura Lt BT" w:eastAsia="Futura Lt BT" w:hAnsi="Futura Lt BT" w:cs="Futura Lt BT"/>
          <w:lang w:val="es-CR"/>
        </w:rPr>
        <w:t xml:space="preserve">gracias al cual </w:t>
      </w:r>
      <w:r w:rsidR="00AB02A0" w:rsidRPr="00CA4E1B">
        <w:rPr>
          <w:rFonts w:ascii="Futura Lt BT" w:eastAsia="Futura Lt BT" w:hAnsi="Futura Lt BT" w:cs="Futura Lt BT"/>
          <w:lang w:val="es-CR"/>
        </w:rPr>
        <w:t xml:space="preserve">ya se han vacunado unas 300,000 personas en </w:t>
      </w:r>
      <w:r w:rsidR="00260268" w:rsidRPr="00CA4E1B">
        <w:rPr>
          <w:rFonts w:ascii="Futura Lt BT" w:eastAsia="Futura Lt BT" w:hAnsi="Futura Lt BT" w:cs="Futura Lt BT"/>
          <w:lang w:val="es-CR"/>
        </w:rPr>
        <w:t xml:space="preserve">poco más de </w:t>
      </w:r>
      <w:r w:rsidR="00AB02A0" w:rsidRPr="00CA4E1B">
        <w:rPr>
          <w:rFonts w:ascii="Futura Lt BT" w:eastAsia="Futura Lt BT" w:hAnsi="Futura Lt BT" w:cs="Futura Lt BT"/>
          <w:lang w:val="es-CR"/>
        </w:rPr>
        <w:t xml:space="preserve">dos </w:t>
      </w:r>
      <w:r>
        <w:rPr>
          <w:rFonts w:ascii="Futura Lt BT" w:eastAsia="Futura Lt BT" w:hAnsi="Futura Lt BT" w:cs="Futura Lt BT"/>
          <w:lang w:val="es-CR"/>
        </w:rPr>
        <w:t xml:space="preserve">semanas que la meta </w:t>
      </w:r>
      <w:r w:rsidR="00AB02A0" w:rsidRPr="00CA4E1B">
        <w:rPr>
          <w:rFonts w:ascii="Futura Lt BT" w:eastAsia="Futura Lt BT" w:hAnsi="Futura Lt BT" w:cs="Futura Lt BT"/>
          <w:lang w:val="es-CR"/>
        </w:rPr>
        <w:t>es vacunar al 80% de la población mayor de edad</w:t>
      </w:r>
      <w:r w:rsidR="00C5588D" w:rsidRPr="00CA4E1B">
        <w:rPr>
          <w:rFonts w:ascii="Futura Lt BT" w:eastAsia="Futura Lt BT" w:hAnsi="Futura Lt BT" w:cs="Futura Lt BT"/>
          <w:lang w:val="es-CR"/>
        </w:rPr>
        <w:t xml:space="preserve"> para fines de junio. En lo referente al sector externo, el déficit de cuenta corriente cerró el </w:t>
      </w:r>
      <w:r w:rsidR="001C4444" w:rsidRPr="00CA4E1B">
        <w:rPr>
          <w:rFonts w:ascii="Futura Lt BT" w:eastAsia="Futura Lt BT" w:hAnsi="Futura Lt BT" w:cs="Futura Lt BT"/>
          <w:lang w:val="es-CR"/>
        </w:rPr>
        <w:t>2020</w:t>
      </w:r>
      <w:r w:rsidR="00C5588D" w:rsidRPr="00CA4E1B">
        <w:rPr>
          <w:rFonts w:ascii="Futura Lt BT" w:eastAsia="Futura Lt BT" w:hAnsi="Futura Lt BT" w:cs="Futura Lt BT"/>
          <w:lang w:val="es-CR"/>
        </w:rPr>
        <w:t xml:space="preserve"> en -1.8% del PIB, </w:t>
      </w:r>
      <w:r w:rsidR="00260268" w:rsidRPr="00CA4E1B">
        <w:rPr>
          <w:rFonts w:ascii="Futura Lt BT" w:eastAsia="Futura Lt BT" w:hAnsi="Futura Lt BT" w:cs="Futura Lt BT"/>
          <w:lang w:val="es-CR"/>
        </w:rPr>
        <w:t xml:space="preserve">significativamente </w:t>
      </w:r>
      <w:r w:rsidR="00C5588D" w:rsidRPr="00CA4E1B">
        <w:rPr>
          <w:rFonts w:ascii="Futura Lt BT" w:eastAsia="Futura Lt BT" w:hAnsi="Futura Lt BT" w:cs="Futura Lt BT"/>
          <w:lang w:val="es-CR"/>
        </w:rPr>
        <w:t xml:space="preserve">por debajo de lo proyectado por el FMI, </w:t>
      </w:r>
      <w:r w:rsidR="001C4444" w:rsidRPr="00CA4E1B">
        <w:rPr>
          <w:rFonts w:ascii="Futura Lt BT" w:eastAsia="Futura Lt BT" w:hAnsi="Futura Lt BT" w:cs="Futura Lt BT"/>
          <w:lang w:val="es-CR"/>
        </w:rPr>
        <w:t xml:space="preserve">influenciado por el extraordinario aumento en las remesas que compensaron parcialmente la ralentización del </w:t>
      </w:r>
      <w:r w:rsidR="00260268" w:rsidRPr="00CA4E1B">
        <w:rPr>
          <w:rFonts w:ascii="Futura Lt BT" w:eastAsia="Futura Lt BT" w:hAnsi="Futura Lt BT" w:cs="Futura Lt BT"/>
          <w:lang w:val="es-CR"/>
        </w:rPr>
        <w:t xml:space="preserve">turismo, </w:t>
      </w:r>
      <w:r w:rsidR="00C5588D" w:rsidRPr="00CA4E1B">
        <w:rPr>
          <w:rFonts w:ascii="Futura Lt BT" w:eastAsia="Futura Lt BT" w:hAnsi="Futura Lt BT" w:cs="Futura Lt BT"/>
          <w:lang w:val="es-CR"/>
        </w:rPr>
        <w:t xml:space="preserve">y para </w:t>
      </w:r>
      <w:r w:rsidR="00260268" w:rsidRPr="00CA4E1B">
        <w:rPr>
          <w:rFonts w:ascii="Futura Lt BT" w:eastAsia="Futura Lt BT" w:hAnsi="Futura Lt BT" w:cs="Futura Lt BT"/>
          <w:lang w:val="es-CR"/>
        </w:rPr>
        <w:t xml:space="preserve">el </w:t>
      </w:r>
      <w:r w:rsidR="00C5588D" w:rsidRPr="00CA4E1B">
        <w:rPr>
          <w:rFonts w:ascii="Futura Lt BT" w:eastAsia="Futura Lt BT" w:hAnsi="Futura Lt BT" w:cs="Futura Lt BT"/>
          <w:lang w:val="es-CR"/>
        </w:rPr>
        <w:t xml:space="preserve">2021 se prevé </w:t>
      </w:r>
      <w:r w:rsidR="00260268" w:rsidRPr="00CA4E1B">
        <w:rPr>
          <w:rFonts w:ascii="Futura Lt BT" w:eastAsia="Futura Lt BT" w:hAnsi="Futura Lt BT" w:cs="Futura Lt BT"/>
          <w:lang w:val="es-CR"/>
        </w:rPr>
        <w:t>que el déficit de cuenta corriente se ubi</w:t>
      </w:r>
      <w:r w:rsidR="002203A3">
        <w:rPr>
          <w:rFonts w:ascii="Futura Lt BT" w:eastAsia="Futura Lt BT" w:hAnsi="Futura Lt BT" w:cs="Futura Lt BT"/>
          <w:lang w:val="es-CR"/>
        </w:rPr>
        <w:t>que</w:t>
      </w:r>
      <w:r w:rsidR="00260268" w:rsidRPr="00CA4E1B">
        <w:rPr>
          <w:rFonts w:ascii="Futura Lt BT" w:eastAsia="Futura Lt BT" w:hAnsi="Futura Lt BT" w:cs="Futura Lt BT"/>
          <w:lang w:val="es-CR"/>
        </w:rPr>
        <w:t xml:space="preserve"> en el rango de -1% a -1.5% del PIB. </w:t>
      </w:r>
      <w:r w:rsidR="002203A3">
        <w:rPr>
          <w:rFonts w:ascii="Futura Lt BT" w:eastAsia="Futura Lt BT" w:hAnsi="Futura Lt BT" w:cs="Futura Lt BT"/>
          <w:lang w:val="es-CR"/>
        </w:rPr>
        <w:t>L</w:t>
      </w:r>
      <w:r w:rsidR="00260268" w:rsidRPr="00CA4E1B">
        <w:rPr>
          <w:rFonts w:ascii="Futura Lt BT" w:eastAsia="Futura Lt BT" w:hAnsi="Futura Lt BT" w:cs="Futura Lt BT"/>
          <w:lang w:val="es-CR"/>
        </w:rPr>
        <w:t>a inversión extranjera directa cubrió en más de dos veces en 2020 el déficit de la cuenta corriente. En cuanto a las remesas, en 2020 recibieron USD8,219.3 millones y esperan que en 2021 superen esa cifra</w:t>
      </w:r>
      <w:r w:rsidR="002203A3">
        <w:rPr>
          <w:rFonts w:ascii="Futura Lt BT" w:eastAsia="Futura Lt BT" w:hAnsi="Futura Lt BT" w:cs="Futura Lt BT"/>
          <w:lang w:val="es-CR"/>
        </w:rPr>
        <w:t>,</w:t>
      </w:r>
      <w:r w:rsidR="00260268" w:rsidRPr="00CA4E1B">
        <w:rPr>
          <w:rFonts w:ascii="Futura Lt BT" w:eastAsia="Futura Lt BT" w:hAnsi="Futura Lt BT" w:cs="Futura Lt BT"/>
          <w:lang w:val="es-CR"/>
        </w:rPr>
        <w:t xml:space="preserve"> porque en enero recibieron USD792.8 millones y </w:t>
      </w:r>
      <w:r w:rsidR="00260268" w:rsidRPr="00CA4E1B">
        <w:rPr>
          <w:rFonts w:ascii="Futura Lt BT" w:eastAsia="Futura Lt BT" w:hAnsi="Futura Lt BT" w:cs="Futura Lt BT"/>
          <w:lang w:val="es-CR"/>
        </w:rPr>
        <w:lastRenderedPageBreak/>
        <w:t xml:space="preserve">en febrero USD760 millones. Se ha tenido que incrementar el gasto para los sectores más vulnerables y </w:t>
      </w:r>
      <w:r w:rsidR="00D34512" w:rsidRPr="00CA4E1B">
        <w:rPr>
          <w:rFonts w:ascii="Futura Lt BT" w:eastAsia="Futura Lt BT" w:hAnsi="Futura Lt BT" w:cs="Futura Lt BT"/>
          <w:lang w:val="es-CR"/>
        </w:rPr>
        <w:t xml:space="preserve">para atender el problema sanitario; el Gobierno ha acudido </w:t>
      </w:r>
      <w:r w:rsidR="002203A3">
        <w:rPr>
          <w:rFonts w:ascii="Futura Lt BT" w:eastAsia="Futura Lt BT" w:hAnsi="Futura Lt BT" w:cs="Futura Lt BT"/>
          <w:lang w:val="es-CR"/>
        </w:rPr>
        <w:t xml:space="preserve">exitosamente </w:t>
      </w:r>
      <w:r w:rsidR="00D34512" w:rsidRPr="00CA4E1B">
        <w:rPr>
          <w:rFonts w:ascii="Futura Lt BT" w:eastAsia="Futura Lt BT" w:hAnsi="Futura Lt BT" w:cs="Futura Lt BT"/>
          <w:lang w:val="es-CR"/>
        </w:rPr>
        <w:t>al financiamiento externo, con ahorro</w:t>
      </w:r>
      <w:r w:rsidR="002203A3">
        <w:rPr>
          <w:rFonts w:ascii="Futura Lt BT" w:eastAsia="Futura Lt BT" w:hAnsi="Futura Lt BT" w:cs="Futura Lt BT"/>
          <w:lang w:val="es-CR"/>
        </w:rPr>
        <w:t>s</w:t>
      </w:r>
      <w:r w:rsidR="00D34512" w:rsidRPr="00CA4E1B">
        <w:rPr>
          <w:rFonts w:ascii="Futura Lt BT" w:eastAsia="Futura Lt BT" w:hAnsi="Futura Lt BT" w:cs="Futura Lt BT"/>
          <w:lang w:val="es-CR"/>
        </w:rPr>
        <w:t xml:space="preserve"> en las tasas de interés. Las reservas internacionales se han fortalecido en forma sostenida, situándose en torno a los USD12 mil millones, </w:t>
      </w:r>
      <w:r w:rsidR="007830B8" w:rsidRPr="00CA4E1B">
        <w:rPr>
          <w:rFonts w:ascii="Futura Lt BT" w:eastAsia="Futura Lt BT" w:hAnsi="Futura Lt BT" w:cs="Futura Lt BT"/>
          <w:lang w:val="es-CR"/>
        </w:rPr>
        <w:t xml:space="preserve">la </w:t>
      </w:r>
      <w:r w:rsidR="002203A3">
        <w:rPr>
          <w:rFonts w:ascii="Futura Lt BT" w:eastAsia="Futura Lt BT" w:hAnsi="Futura Lt BT" w:cs="Futura Lt BT"/>
          <w:lang w:val="es-CR"/>
        </w:rPr>
        <w:t xml:space="preserve">cifra </w:t>
      </w:r>
      <w:r w:rsidR="007830B8" w:rsidRPr="00CA4E1B">
        <w:rPr>
          <w:rFonts w:ascii="Futura Lt BT" w:eastAsia="Futura Lt BT" w:hAnsi="Futura Lt BT" w:cs="Futura Lt BT"/>
          <w:lang w:val="es-CR"/>
        </w:rPr>
        <w:t xml:space="preserve">más alta de la historia del país, </w:t>
      </w:r>
      <w:r w:rsidR="00D34512" w:rsidRPr="00CA4E1B">
        <w:rPr>
          <w:rFonts w:ascii="Futura Lt BT" w:eastAsia="Futura Lt BT" w:hAnsi="Futura Lt BT" w:cs="Futura Lt BT"/>
          <w:lang w:val="es-CR"/>
        </w:rPr>
        <w:t>superando el 15% del PIB y una cobertura de 7 me</w:t>
      </w:r>
      <w:r w:rsidR="007830B8" w:rsidRPr="00CA4E1B">
        <w:rPr>
          <w:rFonts w:ascii="Futura Lt BT" w:eastAsia="Futura Lt BT" w:hAnsi="Futura Lt BT" w:cs="Futura Lt BT"/>
          <w:lang w:val="es-CR"/>
        </w:rPr>
        <w:t>s</w:t>
      </w:r>
      <w:r w:rsidR="00D34512" w:rsidRPr="00CA4E1B">
        <w:rPr>
          <w:rFonts w:ascii="Futura Lt BT" w:eastAsia="Futura Lt BT" w:hAnsi="Futura Lt BT" w:cs="Futura Lt BT"/>
          <w:lang w:val="es-CR"/>
        </w:rPr>
        <w:t>es de importaciones, lo que, unido a la mejoría en el flujo de divisas, han contribuido a mantener la estabilidad relativa del tipo de cambio.</w:t>
      </w:r>
      <w:r w:rsidR="007830B8" w:rsidRPr="00CA4E1B">
        <w:rPr>
          <w:rFonts w:ascii="Futura Lt BT" w:eastAsia="Futura Lt BT" w:hAnsi="Futura Lt BT" w:cs="Futura Lt BT"/>
          <w:lang w:val="es-CR"/>
        </w:rPr>
        <w:t xml:space="preserve"> La dinámica reciente de la inflación ha estado influenciada por choques de costos que ha</w:t>
      </w:r>
      <w:r w:rsidR="00BE6190" w:rsidRPr="00CA4E1B">
        <w:rPr>
          <w:rFonts w:ascii="Futura Lt BT" w:eastAsia="Futura Lt BT" w:hAnsi="Futura Lt BT" w:cs="Futura Lt BT"/>
          <w:lang w:val="es-CR"/>
        </w:rPr>
        <w:t>n</w:t>
      </w:r>
      <w:r w:rsidR="007830B8" w:rsidRPr="00CA4E1B">
        <w:rPr>
          <w:rFonts w:ascii="Futura Lt BT" w:eastAsia="Futura Lt BT" w:hAnsi="Futura Lt BT" w:cs="Futura Lt BT"/>
          <w:lang w:val="es-CR"/>
        </w:rPr>
        <w:t xml:space="preserve"> afectado la producción de alimentos como resultado del impacto rezagado de fenómenos climáticos</w:t>
      </w:r>
      <w:r w:rsidR="0009428D" w:rsidRPr="00CA4E1B">
        <w:rPr>
          <w:rFonts w:ascii="Futura Lt BT" w:eastAsia="Futura Lt BT" w:hAnsi="Futura Lt BT" w:cs="Futura Lt BT"/>
          <w:lang w:val="es-CR"/>
        </w:rPr>
        <w:t xml:space="preserve"> y los incrementos en los insumos importados </w:t>
      </w:r>
      <w:r w:rsidR="001E4104" w:rsidRPr="00CA4E1B">
        <w:rPr>
          <w:rFonts w:ascii="Futura Lt BT" w:eastAsia="Futura Lt BT" w:hAnsi="Futura Lt BT" w:cs="Futura Lt BT"/>
          <w:lang w:val="es-CR"/>
        </w:rPr>
        <w:t xml:space="preserve">alimenticios </w:t>
      </w:r>
      <w:r w:rsidR="0009428D" w:rsidRPr="00CA4E1B">
        <w:rPr>
          <w:rFonts w:ascii="Futura Lt BT" w:eastAsia="Futura Lt BT" w:hAnsi="Futura Lt BT" w:cs="Futura Lt BT"/>
          <w:lang w:val="es-CR"/>
        </w:rPr>
        <w:t xml:space="preserve">y mayores precios internacionales del petróleo. </w:t>
      </w:r>
      <w:r w:rsidR="001E4104" w:rsidRPr="00CA4E1B">
        <w:rPr>
          <w:rFonts w:ascii="Futura Lt BT" w:eastAsia="Futura Lt BT" w:hAnsi="Futura Lt BT" w:cs="Futura Lt BT"/>
          <w:lang w:val="es-CR"/>
        </w:rPr>
        <w:t xml:space="preserve">La inflación </w:t>
      </w:r>
      <w:r w:rsidR="00BE6190" w:rsidRPr="00CA4E1B">
        <w:rPr>
          <w:rFonts w:ascii="Futura Lt BT" w:eastAsia="Futura Lt BT" w:hAnsi="Futura Lt BT" w:cs="Futura Lt BT"/>
          <w:lang w:val="es-CR"/>
        </w:rPr>
        <w:t xml:space="preserve">interanual </w:t>
      </w:r>
      <w:r w:rsidR="001E4104" w:rsidRPr="00CA4E1B">
        <w:rPr>
          <w:rFonts w:ascii="Futura Lt BT" w:eastAsia="Futura Lt BT" w:hAnsi="Futura Lt BT" w:cs="Futura Lt BT"/>
          <w:lang w:val="es-CR"/>
        </w:rPr>
        <w:t xml:space="preserve">asociada a la serie analítica de la nueva base </w:t>
      </w:r>
      <w:r w:rsidR="00BE6190" w:rsidRPr="00CA4E1B">
        <w:rPr>
          <w:rFonts w:ascii="Futura Lt BT" w:eastAsia="Futura Lt BT" w:hAnsi="Futura Lt BT" w:cs="Futura Lt BT"/>
          <w:lang w:val="es-CR"/>
        </w:rPr>
        <w:t xml:space="preserve">se ubicó en 5.35%, mientras que la inflación subyacente en 4.93% interanual. Es importante precisar que las proyecciones indican que la inflación convergerá de forma paulatina al rango de 4.0% ±1.0% durante la segunda mitad del año, mientras que las expectativas se mantienen ancladas. </w:t>
      </w:r>
      <w:r w:rsidR="00C816E5">
        <w:rPr>
          <w:rFonts w:ascii="Futura Lt BT" w:eastAsia="Futura Lt BT" w:hAnsi="Futura Lt BT" w:cs="Futura Lt BT"/>
          <w:lang w:val="es-CR"/>
        </w:rPr>
        <w:t>Finalmente, manifestó que e</w:t>
      </w:r>
      <w:r w:rsidR="00546D3C" w:rsidRPr="00CA4E1B">
        <w:rPr>
          <w:rFonts w:ascii="Futura Lt BT" w:eastAsia="Futura Lt BT" w:hAnsi="Futura Lt BT" w:cs="Futura Lt BT"/>
          <w:lang w:val="es-CR"/>
        </w:rPr>
        <w:t xml:space="preserve">stas proyecciones de inflación y las expectativas de los agentes económicos ancladas a la meta otorgan el espacio para que el </w:t>
      </w:r>
      <w:r w:rsidR="00C816E5">
        <w:rPr>
          <w:rFonts w:ascii="Futura Lt BT" w:eastAsia="Futura Lt BT" w:hAnsi="Futura Lt BT" w:cs="Futura Lt BT"/>
          <w:lang w:val="es-CR"/>
        </w:rPr>
        <w:t>BCRD</w:t>
      </w:r>
      <w:r w:rsidR="00546D3C" w:rsidRPr="00CA4E1B">
        <w:rPr>
          <w:rFonts w:ascii="Futura Lt BT" w:eastAsia="Futura Lt BT" w:hAnsi="Futura Lt BT" w:cs="Futura Lt BT"/>
          <w:lang w:val="es-CR"/>
        </w:rPr>
        <w:t xml:space="preserve"> mantenga condiciones monetarias favorables</w:t>
      </w:r>
      <w:r w:rsidR="00894C29" w:rsidRPr="00CA4E1B">
        <w:rPr>
          <w:rFonts w:ascii="Futura Lt BT" w:eastAsia="Futura Lt BT" w:hAnsi="Futura Lt BT" w:cs="Futura Lt BT"/>
          <w:lang w:val="es-CR"/>
        </w:rPr>
        <w:t>,</w:t>
      </w:r>
      <w:r w:rsidR="00546D3C" w:rsidRPr="00CA4E1B">
        <w:rPr>
          <w:rFonts w:ascii="Futura Lt BT" w:eastAsia="Futura Lt BT" w:hAnsi="Futura Lt BT" w:cs="Futura Lt BT"/>
          <w:lang w:val="es-CR"/>
        </w:rPr>
        <w:t xml:space="preserve"> con el propósito de continuar apoyando la reactivación económica</w:t>
      </w:r>
      <w:r w:rsidR="00894C29" w:rsidRPr="00CA4E1B">
        <w:rPr>
          <w:rFonts w:ascii="Futura Lt BT" w:eastAsia="Futura Lt BT" w:hAnsi="Futura Lt BT" w:cs="Futura Lt BT"/>
          <w:lang w:val="es-CR"/>
        </w:rPr>
        <w:t>. E</w:t>
      </w:r>
      <w:r w:rsidR="00C816E5">
        <w:rPr>
          <w:rFonts w:ascii="Futura Lt BT" w:eastAsia="Futura Lt BT" w:hAnsi="Futura Lt BT" w:cs="Futura Lt BT"/>
          <w:lang w:val="es-CR"/>
        </w:rPr>
        <w:t>l</w:t>
      </w:r>
      <w:r w:rsidR="00894C29" w:rsidRPr="00CA4E1B">
        <w:rPr>
          <w:rFonts w:ascii="Futura Lt BT" w:eastAsia="Futura Lt BT" w:hAnsi="Futura Lt BT" w:cs="Futura Lt BT"/>
          <w:lang w:val="es-CR"/>
        </w:rPr>
        <w:t xml:space="preserve"> conjunto de medidas implementadas impulsará la recuperación de la demanda agregada y permitirá que la economía dominicana retorne durante 2021 a la senda del crecimiento en un contexto de fuertes fundamentos y de mantenimiento de la estabilidad macroeconómica. </w:t>
      </w:r>
    </w:p>
    <w:p w14:paraId="69B12086" w14:textId="7EB83FF7" w:rsidR="00EC4639" w:rsidRPr="00CA4E1B" w:rsidRDefault="00EF49B6" w:rsidP="00EF49B6">
      <w:pPr>
        <w:pStyle w:val="Body"/>
        <w:spacing w:before="120" w:after="240" w:line="240" w:lineRule="auto"/>
        <w:ind w:firstLine="709"/>
        <w:jc w:val="both"/>
        <w:rPr>
          <w:rFonts w:ascii="Futura Lt BT" w:eastAsia="Futura Lt BT" w:hAnsi="Futura Lt BT" w:cs="Futura Lt BT"/>
          <w:lang w:val="es-CR"/>
        </w:rPr>
      </w:pPr>
      <w:r w:rsidRPr="00CA4E1B">
        <w:rPr>
          <w:rFonts w:ascii="Futura Lt BT" w:eastAsia="Futura Lt BT" w:hAnsi="Futura Lt BT" w:cs="Futura Lt BT"/>
          <w:lang w:val="es-CR"/>
        </w:rPr>
        <w:t>El Presidente del Banco Central de Nicaragua, señor Leonardo Ovidio Reyes, informó que</w:t>
      </w:r>
      <w:r w:rsidR="002420FF" w:rsidRPr="00CA4E1B">
        <w:rPr>
          <w:rFonts w:ascii="Futura Lt BT" w:eastAsia="Futura Lt BT" w:hAnsi="Futura Lt BT" w:cs="Futura Lt BT"/>
          <w:lang w:val="es-CR"/>
        </w:rPr>
        <w:t xml:space="preserve"> la producción doméstica sigue dando señales de recuperación: el PIB creció 1.6% interanual en el primer trimestre de 2020</w:t>
      </w:r>
      <w:r w:rsidR="00CA4E1B">
        <w:rPr>
          <w:rFonts w:ascii="Futura Lt BT" w:eastAsia="Futura Lt BT" w:hAnsi="Futura Lt BT" w:cs="Futura Lt BT"/>
          <w:lang w:val="es-CR"/>
        </w:rPr>
        <w:t xml:space="preserve">; </w:t>
      </w:r>
      <w:r w:rsidR="002420FF" w:rsidRPr="00CA4E1B">
        <w:rPr>
          <w:rFonts w:ascii="Futura Lt BT" w:eastAsia="Futura Lt BT" w:hAnsi="Futura Lt BT" w:cs="Futura Lt BT"/>
          <w:lang w:val="es-CR"/>
        </w:rPr>
        <w:t xml:space="preserve">por efecto de la pandemia se redujo 7.5% en el segundo trimestre, para luego mostrar una menor reducción de 2.7% en el tercer trimestre, en señal de recuperación. </w:t>
      </w:r>
      <w:r w:rsidR="007E5264">
        <w:rPr>
          <w:rFonts w:ascii="Futura Lt BT" w:eastAsia="Futura Lt BT" w:hAnsi="Futura Lt BT" w:cs="Futura Lt BT"/>
          <w:lang w:val="es-CR"/>
        </w:rPr>
        <w:t>Indicó que, d</w:t>
      </w:r>
      <w:r w:rsidR="002420FF" w:rsidRPr="00CA4E1B">
        <w:rPr>
          <w:rFonts w:ascii="Futura Lt BT" w:eastAsia="Futura Lt BT" w:hAnsi="Futura Lt BT" w:cs="Futura Lt BT"/>
          <w:lang w:val="es-CR"/>
        </w:rPr>
        <w:t>e acuerdo con el IMAE a diciembre de 2020, la actividad económica fue aminorada por el impacto de los huracanes Eta e Iota</w:t>
      </w:r>
      <w:r w:rsidR="007E5264">
        <w:rPr>
          <w:rFonts w:ascii="Futura Lt BT" w:eastAsia="Futura Lt BT" w:hAnsi="Futura Lt BT" w:cs="Futura Lt BT"/>
          <w:lang w:val="es-CR"/>
        </w:rPr>
        <w:t>;</w:t>
      </w:r>
      <w:r w:rsidR="002420FF" w:rsidRPr="00CA4E1B">
        <w:rPr>
          <w:rFonts w:ascii="Futura Lt BT" w:eastAsia="Futura Lt BT" w:hAnsi="Futura Lt BT" w:cs="Futura Lt BT"/>
          <w:lang w:val="es-CR"/>
        </w:rPr>
        <w:t xml:space="preserve"> no obstante, se mantiene la tendencia a la recuperación. </w:t>
      </w:r>
      <w:r w:rsidR="00363A54" w:rsidRPr="00CA4E1B">
        <w:rPr>
          <w:rFonts w:ascii="Futura Lt BT" w:eastAsia="Futura Lt BT" w:hAnsi="Futura Lt BT" w:cs="Futura Lt BT"/>
          <w:lang w:val="es-CR"/>
        </w:rPr>
        <w:t xml:space="preserve">En </w:t>
      </w:r>
      <w:r w:rsidR="002420FF" w:rsidRPr="00CA4E1B">
        <w:rPr>
          <w:rFonts w:ascii="Futura Lt BT" w:eastAsia="Futura Lt BT" w:hAnsi="Futura Lt BT" w:cs="Futura Lt BT"/>
          <w:lang w:val="es-CR"/>
        </w:rPr>
        <w:t xml:space="preserve">variación </w:t>
      </w:r>
      <w:r w:rsidR="00363A54" w:rsidRPr="00CA4E1B">
        <w:rPr>
          <w:rFonts w:ascii="Futura Lt BT" w:eastAsia="Futura Lt BT" w:hAnsi="Futura Lt BT" w:cs="Futura Lt BT"/>
          <w:lang w:val="es-CR"/>
        </w:rPr>
        <w:t>acumulada, el IMAE se redujo 2.5%, con actividades creciendo (</w:t>
      </w:r>
      <w:r w:rsidR="00CA4E1B">
        <w:rPr>
          <w:rFonts w:ascii="Futura Lt BT" w:eastAsia="Futura Lt BT" w:hAnsi="Futura Lt BT" w:cs="Futura Lt BT"/>
          <w:lang w:val="es-CR"/>
        </w:rPr>
        <w:t xml:space="preserve">como </w:t>
      </w:r>
      <w:r w:rsidR="00363A54" w:rsidRPr="00CA4E1B">
        <w:rPr>
          <w:rFonts w:ascii="Futura Lt BT" w:eastAsia="Futura Lt BT" w:hAnsi="Futura Lt BT" w:cs="Futura Lt BT"/>
          <w:lang w:val="es-CR"/>
        </w:rPr>
        <w:t xml:space="preserve">comercio, minería, pecuario, salud, administración pública, agricultura, construcción y enseñanza) y actividades que continúan afectadas, como hoteles y </w:t>
      </w:r>
      <w:r w:rsidR="00BC0EEA">
        <w:rPr>
          <w:rFonts w:ascii="Futura Lt BT" w:eastAsia="Futura Lt BT" w:hAnsi="Futura Lt BT" w:cs="Futura Lt BT"/>
          <w:lang w:val="es-CR"/>
        </w:rPr>
        <w:t>restaurantes</w:t>
      </w:r>
      <w:r w:rsidR="00363A54" w:rsidRPr="00CA4E1B">
        <w:rPr>
          <w:rFonts w:ascii="Futura Lt BT" w:eastAsia="Futura Lt BT" w:hAnsi="Futura Lt BT" w:cs="Futura Lt BT"/>
          <w:lang w:val="es-CR"/>
        </w:rPr>
        <w:t xml:space="preserve">. </w:t>
      </w:r>
      <w:r w:rsidR="00D356EF">
        <w:rPr>
          <w:rFonts w:ascii="Futura Lt BT" w:eastAsia="Futura Lt BT" w:hAnsi="Futura Lt BT" w:cs="Futura Lt BT"/>
          <w:lang w:val="es-CR"/>
        </w:rPr>
        <w:t>Señaló que e</w:t>
      </w:r>
      <w:r w:rsidR="00363A54" w:rsidRPr="00CA4E1B">
        <w:rPr>
          <w:rFonts w:ascii="Futura Lt BT" w:eastAsia="Futura Lt BT" w:hAnsi="Futura Lt BT" w:cs="Futura Lt BT"/>
          <w:lang w:val="es-CR"/>
        </w:rPr>
        <w:t xml:space="preserve">l mercado laboral mostró señales de estabilización desde el tercer trimestre de 2020: según la </w:t>
      </w:r>
      <w:r w:rsidR="00D356EF">
        <w:rPr>
          <w:rFonts w:ascii="Futura Lt BT" w:eastAsia="Futura Lt BT" w:hAnsi="Futura Lt BT" w:cs="Futura Lt BT"/>
          <w:lang w:val="es-CR"/>
        </w:rPr>
        <w:t>e</w:t>
      </w:r>
      <w:r w:rsidR="00363A54" w:rsidRPr="00CA4E1B">
        <w:rPr>
          <w:rFonts w:ascii="Futura Lt BT" w:eastAsia="Futura Lt BT" w:hAnsi="Futura Lt BT" w:cs="Futura Lt BT"/>
          <w:lang w:val="es-CR"/>
        </w:rPr>
        <w:t xml:space="preserve">ncuesta </w:t>
      </w:r>
      <w:r w:rsidR="00D356EF">
        <w:rPr>
          <w:rFonts w:ascii="Futura Lt BT" w:eastAsia="Futura Lt BT" w:hAnsi="Futura Lt BT" w:cs="Futura Lt BT"/>
          <w:lang w:val="es-CR"/>
        </w:rPr>
        <w:t>c</w:t>
      </w:r>
      <w:r w:rsidR="00363A54" w:rsidRPr="00CA4E1B">
        <w:rPr>
          <w:rFonts w:ascii="Futura Lt BT" w:eastAsia="Futura Lt BT" w:hAnsi="Futura Lt BT" w:cs="Futura Lt BT"/>
          <w:lang w:val="es-CR"/>
        </w:rPr>
        <w:t xml:space="preserve">ontinua de </w:t>
      </w:r>
      <w:r w:rsidR="00D356EF">
        <w:rPr>
          <w:rFonts w:ascii="Futura Lt BT" w:eastAsia="Futura Lt BT" w:hAnsi="Futura Lt BT" w:cs="Futura Lt BT"/>
          <w:lang w:val="es-CR"/>
        </w:rPr>
        <w:t>h</w:t>
      </w:r>
      <w:r w:rsidR="00363A54" w:rsidRPr="00CA4E1B">
        <w:rPr>
          <w:rFonts w:ascii="Futura Lt BT" w:eastAsia="Futura Lt BT" w:hAnsi="Futura Lt BT" w:cs="Futura Lt BT"/>
          <w:lang w:val="es-CR"/>
        </w:rPr>
        <w:t>ogares</w:t>
      </w:r>
      <w:r w:rsidR="00D356EF">
        <w:rPr>
          <w:rFonts w:ascii="Futura Lt BT" w:eastAsia="Futura Lt BT" w:hAnsi="Futura Lt BT" w:cs="Futura Lt BT"/>
          <w:lang w:val="es-CR"/>
        </w:rPr>
        <w:t xml:space="preserve">, </w:t>
      </w:r>
      <w:r w:rsidR="00363A54" w:rsidRPr="00CA4E1B">
        <w:rPr>
          <w:rFonts w:ascii="Futura Lt BT" w:eastAsia="Futura Lt BT" w:hAnsi="Futura Lt BT" w:cs="Futura Lt BT"/>
          <w:lang w:val="es-CR"/>
        </w:rPr>
        <w:t>la tasa de desempleo abierto pasó de 5.4% en el segundo tri</w:t>
      </w:r>
      <w:r w:rsidR="00CA4E1B">
        <w:rPr>
          <w:rFonts w:ascii="Futura Lt BT" w:eastAsia="Futura Lt BT" w:hAnsi="Futura Lt BT" w:cs="Futura Lt BT"/>
          <w:lang w:val="es-CR"/>
        </w:rPr>
        <w:t>mes</w:t>
      </w:r>
      <w:r w:rsidR="00363A54" w:rsidRPr="00CA4E1B">
        <w:rPr>
          <w:rFonts w:ascii="Futura Lt BT" w:eastAsia="Futura Lt BT" w:hAnsi="Futura Lt BT" w:cs="Futura Lt BT"/>
          <w:lang w:val="es-CR"/>
        </w:rPr>
        <w:t>tre al 4.8% en el tercero, ubicándose en el mismo nivel del primer trimestre de 2020</w:t>
      </w:r>
      <w:r w:rsidR="00CA4E1B">
        <w:rPr>
          <w:rFonts w:ascii="Futura Lt BT" w:eastAsia="Futura Lt BT" w:hAnsi="Futura Lt BT" w:cs="Futura Lt BT"/>
          <w:lang w:val="es-CR"/>
        </w:rPr>
        <w:t>,</w:t>
      </w:r>
      <w:r w:rsidR="00363A54" w:rsidRPr="00CA4E1B">
        <w:rPr>
          <w:rFonts w:ascii="Futura Lt BT" w:eastAsia="Futura Lt BT" w:hAnsi="Futura Lt BT" w:cs="Futura Lt BT"/>
          <w:lang w:val="es-CR"/>
        </w:rPr>
        <w:t xml:space="preserve"> previo a la pandemia. La tasa global de participación laboral se ubicó en 68.2%, por debajo del primer trimestre, pero por encima del segundo. </w:t>
      </w:r>
      <w:r w:rsidR="00363A54" w:rsidRPr="00E05233">
        <w:rPr>
          <w:rFonts w:ascii="Futura Lt BT" w:eastAsia="Futura Lt BT" w:hAnsi="Futura Lt BT" w:cs="Futura Lt BT"/>
          <w:lang w:val="es-CR"/>
        </w:rPr>
        <w:t xml:space="preserve">En tanto, la tasa de </w:t>
      </w:r>
      <w:r w:rsidR="00E05233" w:rsidRPr="00E05233">
        <w:rPr>
          <w:rFonts w:ascii="Futura Lt BT" w:eastAsia="Futura Lt BT" w:hAnsi="Futura Lt BT" w:cs="Futura Lt BT"/>
          <w:lang w:val="es-CR"/>
        </w:rPr>
        <w:t>subempleo</w:t>
      </w:r>
      <w:r w:rsidR="00363A54" w:rsidRPr="00E05233">
        <w:rPr>
          <w:rFonts w:ascii="Futura Lt BT" w:eastAsia="Futura Lt BT" w:hAnsi="Futura Lt BT" w:cs="Futura Lt BT"/>
          <w:lang w:val="es-CR"/>
        </w:rPr>
        <w:t xml:space="preserve"> pasó de 46% en el segundo trimestre a 46.3% en el tercero.</w:t>
      </w:r>
      <w:r w:rsidR="00363A54" w:rsidRPr="00CA4E1B">
        <w:rPr>
          <w:rFonts w:ascii="Futura Lt BT" w:eastAsia="Futura Lt BT" w:hAnsi="Futura Lt BT" w:cs="Futura Lt BT"/>
          <w:lang w:val="es-CR"/>
        </w:rPr>
        <w:t xml:space="preserve"> La afiliación al INSS aumentó entre agosto 2020 y febrero 2021</w:t>
      </w:r>
      <w:r w:rsidR="00D356EF">
        <w:rPr>
          <w:rFonts w:ascii="Futura Lt BT" w:eastAsia="Futura Lt BT" w:hAnsi="Futura Lt BT" w:cs="Futura Lt BT"/>
          <w:lang w:val="es-CR"/>
        </w:rPr>
        <w:t>,</w:t>
      </w:r>
      <w:r w:rsidR="00363A54" w:rsidRPr="00CA4E1B">
        <w:rPr>
          <w:rFonts w:ascii="Futura Lt BT" w:eastAsia="Futura Lt BT" w:hAnsi="Futura Lt BT" w:cs="Futura Lt BT"/>
          <w:lang w:val="es-CR"/>
        </w:rPr>
        <w:t xml:space="preserve"> luego de </w:t>
      </w:r>
      <w:r w:rsidR="00D356EF">
        <w:rPr>
          <w:rFonts w:ascii="Futura Lt BT" w:eastAsia="Futura Lt BT" w:hAnsi="Futura Lt BT" w:cs="Futura Lt BT"/>
          <w:lang w:val="es-CR"/>
        </w:rPr>
        <w:t>cinco</w:t>
      </w:r>
      <w:r w:rsidR="00363A54" w:rsidRPr="00CA4E1B">
        <w:rPr>
          <w:rFonts w:ascii="Futura Lt BT" w:eastAsia="Futura Lt BT" w:hAnsi="Futura Lt BT" w:cs="Futura Lt BT"/>
          <w:lang w:val="es-CR"/>
        </w:rPr>
        <w:t xml:space="preserve"> meses consecutivos de desafiliación neta</w:t>
      </w:r>
      <w:r w:rsidR="00D356EF">
        <w:rPr>
          <w:rFonts w:ascii="Futura Lt BT" w:eastAsia="Futura Lt BT" w:hAnsi="Futura Lt BT" w:cs="Futura Lt BT"/>
          <w:lang w:val="es-CR"/>
        </w:rPr>
        <w:t>;</w:t>
      </w:r>
      <w:r w:rsidR="00DE3DE0">
        <w:rPr>
          <w:rFonts w:ascii="Futura Lt BT" w:eastAsia="Futura Lt BT" w:hAnsi="Futura Lt BT" w:cs="Futura Lt BT"/>
          <w:lang w:val="es-CR"/>
        </w:rPr>
        <w:t xml:space="preserve"> a</w:t>
      </w:r>
      <w:r w:rsidR="00363A54" w:rsidRPr="00CA4E1B">
        <w:rPr>
          <w:rFonts w:ascii="Futura Lt BT" w:eastAsia="Futura Lt BT" w:hAnsi="Futura Lt BT" w:cs="Futura Lt BT"/>
          <w:lang w:val="es-CR"/>
        </w:rPr>
        <w:t xml:space="preserve"> febrero, la afiliación creció 0.4% interanual.</w:t>
      </w:r>
      <w:r w:rsidR="00B13709" w:rsidRPr="00CA4E1B">
        <w:rPr>
          <w:rFonts w:ascii="Futura Lt BT" w:eastAsia="Futura Lt BT" w:hAnsi="Futura Lt BT" w:cs="Futura Lt BT"/>
          <w:lang w:val="es-CR"/>
        </w:rPr>
        <w:t xml:space="preserve"> La inflación sigue estable, en un nivel más </w:t>
      </w:r>
      <w:r w:rsidR="00EC4639" w:rsidRPr="00CA4E1B">
        <w:rPr>
          <w:rFonts w:ascii="Futura Lt BT" w:eastAsia="Futura Lt BT" w:hAnsi="Futura Lt BT" w:cs="Futura Lt BT"/>
          <w:lang w:val="es-CR"/>
        </w:rPr>
        <w:t>bajo</w:t>
      </w:r>
      <w:r w:rsidR="00B13709" w:rsidRPr="00CA4E1B">
        <w:rPr>
          <w:rFonts w:ascii="Futura Lt BT" w:eastAsia="Futura Lt BT" w:hAnsi="Futura Lt BT" w:cs="Futura Lt BT"/>
          <w:lang w:val="es-CR"/>
        </w:rPr>
        <w:t xml:space="preserve"> por el choque externo de la pandemia y factores </w:t>
      </w:r>
      <w:r w:rsidR="00512F90">
        <w:rPr>
          <w:rFonts w:ascii="Futura Lt BT" w:eastAsia="Futura Lt BT" w:hAnsi="Futura Lt BT" w:cs="Futura Lt BT"/>
          <w:lang w:val="es-CR"/>
        </w:rPr>
        <w:t>internos</w:t>
      </w:r>
      <w:r w:rsidR="00B13709" w:rsidRPr="00CA4E1B">
        <w:rPr>
          <w:rFonts w:ascii="Futura Lt BT" w:eastAsia="Futura Lt BT" w:hAnsi="Futura Lt BT" w:cs="Futura Lt BT"/>
          <w:lang w:val="es-CR"/>
        </w:rPr>
        <w:t xml:space="preserve">. El </w:t>
      </w:r>
      <w:r w:rsidR="00EC4639" w:rsidRPr="00CA4E1B">
        <w:rPr>
          <w:rFonts w:ascii="Futura Lt BT" w:eastAsia="Futura Lt BT" w:hAnsi="Futura Lt BT" w:cs="Futura Lt BT"/>
          <w:lang w:val="es-CR"/>
        </w:rPr>
        <w:t>desempeño</w:t>
      </w:r>
      <w:r w:rsidR="00B13709" w:rsidRPr="00CA4E1B">
        <w:rPr>
          <w:rFonts w:ascii="Futura Lt BT" w:eastAsia="Futura Lt BT" w:hAnsi="Futura Lt BT" w:cs="Futura Lt BT"/>
          <w:lang w:val="es-CR"/>
        </w:rPr>
        <w:t xml:space="preserve"> del sector agrícola, los </w:t>
      </w:r>
      <w:r w:rsidR="00EC4639" w:rsidRPr="00CA4E1B">
        <w:rPr>
          <w:rFonts w:ascii="Futura Lt BT" w:eastAsia="Futura Lt BT" w:hAnsi="Futura Lt BT" w:cs="Futura Lt BT"/>
          <w:lang w:val="es-CR"/>
        </w:rPr>
        <w:t>bajos</w:t>
      </w:r>
      <w:r w:rsidR="00B13709" w:rsidRPr="00CA4E1B">
        <w:rPr>
          <w:rFonts w:ascii="Futura Lt BT" w:eastAsia="Futura Lt BT" w:hAnsi="Futura Lt BT" w:cs="Futura Lt BT"/>
          <w:lang w:val="es-CR"/>
        </w:rPr>
        <w:t xml:space="preserve"> precios internacionales del </w:t>
      </w:r>
      <w:r w:rsidR="00EC4639" w:rsidRPr="00CA4E1B">
        <w:rPr>
          <w:rFonts w:ascii="Futura Lt BT" w:eastAsia="Futura Lt BT" w:hAnsi="Futura Lt BT" w:cs="Futura Lt BT"/>
          <w:lang w:val="es-CR"/>
        </w:rPr>
        <w:t>petróleo</w:t>
      </w:r>
      <w:r w:rsidR="00B13709" w:rsidRPr="00CA4E1B">
        <w:rPr>
          <w:rFonts w:ascii="Futura Lt BT" w:eastAsia="Futura Lt BT" w:hAnsi="Futura Lt BT" w:cs="Futura Lt BT"/>
          <w:lang w:val="es-CR"/>
        </w:rPr>
        <w:t xml:space="preserve"> y la disminución de la tasa de </w:t>
      </w:r>
      <w:r w:rsidR="00EC4639" w:rsidRPr="00CA4E1B">
        <w:rPr>
          <w:rFonts w:ascii="Futura Lt BT" w:eastAsia="Futura Lt BT" w:hAnsi="Futura Lt BT" w:cs="Futura Lt BT"/>
          <w:lang w:val="es-CR"/>
        </w:rPr>
        <w:t>deslizamiento</w:t>
      </w:r>
      <w:r w:rsidR="00B13709" w:rsidRPr="00CA4E1B">
        <w:rPr>
          <w:rFonts w:ascii="Futura Lt BT" w:eastAsia="Futura Lt BT" w:hAnsi="Futura Lt BT" w:cs="Futura Lt BT"/>
          <w:lang w:val="es-CR"/>
        </w:rPr>
        <w:t xml:space="preserve"> cambiario han reducido la inflación. La variación </w:t>
      </w:r>
      <w:r w:rsidR="00EC4639" w:rsidRPr="00CA4E1B">
        <w:rPr>
          <w:rFonts w:ascii="Futura Lt BT" w:eastAsia="Futura Lt BT" w:hAnsi="Futura Lt BT" w:cs="Futura Lt BT"/>
          <w:lang w:val="es-CR"/>
        </w:rPr>
        <w:t>acumulada</w:t>
      </w:r>
      <w:r w:rsidR="00B13709" w:rsidRPr="00CA4E1B">
        <w:rPr>
          <w:rFonts w:ascii="Futura Lt BT" w:eastAsia="Futura Lt BT" w:hAnsi="Futura Lt BT" w:cs="Futura Lt BT"/>
          <w:lang w:val="es-CR"/>
        </w:rPr>
        <w:t xml:space="preserve"> del IPC a enero 2021 se </w:t>
      </w:r>
      <w:r w:rsidR="00EC4639" w:rsidRPr="00CA4E1B">
        <w:rPr>
          <w:rFonts w:ascii="Futura Lt BT" w:eastAsia="Futura Lt BT" w:hAnsi="Futura Lt BT" w:cs="Futura Lt BT"/>
          <w:lang w:val="es-CR"/>
        </w:rPr>
        <w:t>ubicó</w:t>
      </w:r>
      <w:r w:rsidR="00B13709" w:rsidRPr="00CA4E1B">
        <w:rPr>
          <w:rFonts w:ascii="Futura Lt BT" w:eastAsia="Futura Lt BT" w:hAnsi="Futura Lt BT" w:cs="Futura Lt BT"/>
          <w:lang w:val="es-CR"/>
        </w:rPr>
        <w:t xml:space="preserve"> en 0.26%</w:t>
      </w:r>
      <w:r w:rsidR="00EC4639" w:rsidRPr="00CA4E1B">
        <w:rPr>
          <w:rFonts w:ascii="Futura Lt BT" w:eastAsia="Futura Lt BT" w:hAnsi="Futura Lt BT" w:cs="Futura Lt BT"/>
          <w:lang w:val="es-CR"/>
        </w:rPr>
        <w:t xml:space="preserve"> (0.02% en enero 2020). La inflación interanual fue de 3.18% y la subyacente fue de 2.72% interanual (menor que la tasa de deslizamiento cambiario). </w:t>
      </w:r>
    </w:p>
    <w:p w14:paraId="30300110" w14:textId="4C664FF3" w:rsidR="007A5A31" w:rsidRPr="00CA4E1B" w:rsidRDefault="00436E46" w:rsidP="00EF49B6">
      <w:pPr>
        <w:pStyle w:val="Body"/>
        <w:spacing w:before="120" w:after="240" w:line="240" w:lineRule="auto"/>
        <w:ind w:firstLine="709"/>
        <w:jc w:val="both"/>
        <w:rPr>
          <w:rFonts w:ascii="Futura Lt BT" w:eastAsia="Futura Lt BT" w:hAnsi="Futura Lt BT" w:cs="Futura Lt BT"/>
          <w:lang w:val="es-CR"/>
        </w:rPr>
      </w:pPr>
      <w:r w:rsidRPr="00CA4E1B">
        <w:rPr>
          <w:rFonts w:ascii="Futura Lt BT" w:eastAsia="Futura Lt BT" w:hAnsi="Futura Lt BT" w:cs="Futura Lt BT"/>
          <w:lang w:val="es-CR"/>
        </w:rPr>
        <w:t>Las decisiones de política del BCN han apoyado el desempeño de las variables monet</w:t>
      </w:r>
      <w:r w:rsidR="006D77AD" w:rsidRPr="00CA4E1B">
        <w:rPr>
          <w:rFonts w:ascii="Futura Lt BT" w:eastAsia="Futura Lt BT" w:hAnsi="Futura Lt BT" w:cs="Futura Lt BT"/>
          <w:lang w:val="es-CR"/>
        </w:rPr>
        <w:t xml:space="preserve">arias y financieras: las monetarias siguen </w:t>
      </w:r>
      <w:r w:rsidR="00D356EF">
        <w:rPr>
          <w:rFonts w:ascii="Futura Lt BT" w:eastAsia="Futura Lt BT" w:hAnsi="Futura Lt BT" w:cs="Futura Lt BT"/>
          <w:lang w:val="es-CR"/>
        </w:rPr>
        <w:t xml:space="preserve">con </w:t>
      </w:r>
      <w:r w:rsidR="006D77AD" w:rsidRPr="00CA4E1B">
        <w:rPr>
          <w:rFonts w:ascii="Futura Lt BT" w:eastAsia="Futura Lt BT" w:hAnsi="Futura Lt BT" w:cs="Futura Lt BT"/>
          <w:lang w:val="es-CR"/>
        </w:rPr>
        <w:t>un desempeño positivo, generando espacio para la recuperación. A febrero de 2021, todos los agregados monetarios reflejan tasas de crecimiento interanual positivas, el mercado cambiario permanece estable y el BCN continúa favoreciendo un manejo activo de la liquidez del sistema financiero. Las RIB alcanzaron un saldo de USD3,276</w:t>
      </w:r>
      <w:r w:rsidR="009B6ED3">
        <w:rPr>
          <w:rFonts w:ascii="Futura Lt BT" w:eastAsia="Futura Lt BT" w:hAnsi="Futura Lt BT" w:cs="Futura Lt BT"/>
          <w:lang w:val="es-CR"/>
        </w:rPr>
        <w:t>.7</w:t>
      </w:r>
      <w:r w:rsidR="006D77AD" w:rsidRPr="00CA4E1B">
        <w:rPr>
          <w:rFonts w:ascii="Futura Lt BT" w:eastAsia="Futura Lt BT" w:hAnsi="Futura Lt BT" w:cs="Futura Lt BT"/>
          <w:lang w:val="es-CR"/>
        </w:rPr>
        <w:t xml:space="preserve"> millones a febrero (USD64.8 millones más que en diciembre 2020), que representa una cobertura de 2.93 veces la base monetaria y 8.25 meses de importaciones. En 2020, las RIB aumentaron USD814.5 millones.</w:t>
      </w:r>
      <w:r w:rsidR="00E45831" w:rsidRPr="00CA4E1B">
        <w:rPr>
          <w:rFonts w:ascii="Futura Lt BT" w:eastAsia="Futura Lt BT" w:hAnsi="Futura Lt BT" w:cs="Futura Lt BT"/>
          <w:lang w:val="es-CR"/>
        </w:rPr>
        <w:t xml:space="preserve"> El BCN adoptó medidas para incentivar la recuperación de la economía, favoreciendo la liquidez y apoyando el flujo de crédito y la transmisión de la política monetaria, destacándose: 1) </w:t>
      </w:r>
      <w:r w:rsidR="00194CE4">
        <w:rPr>
          <w:rFonts w:ascii="Futura Lt BT" w:eastAsia="Futura Lt BT" w:hAnsi="Futura Lt BT" w:cs="Futura Lt BT"/>
          <w:lang w:val="es-CR"/>
        </w:rPr>
        <w:t xml:space="preserve">la </w:t>
      </w:r>
      <w:r w:rsidR="00E45831" w:rsidRPr="00CA4E1B">
        <w:rPr>
          <w:rFonts w:ascii="Futura Lt BT" w:eastAsia="Futura Lt BT" w:hAnsi="Futura Lt BT" w:cs="Futura Lt BT"/>
          <w:lang w:val="es-CR"/>
        </w:rPr>
        <w:lastRenderedPageBreak/>
        <w:t xml:space="preserve">reducción de la tasa de referencia monetaria </w:t>
      </w:r>
      <w:r w:rsidR="007A5A31" w:rsidRPr="00CA4E1B">
        <w:rPr>
          <w:rFonts w:ascii="Futura Lt BT" w:eastAsia="Futura Lt BT" w:hAnsi="Futura Lt BT" w:cs="Futura Lt BT"/>
          <w:lang w:val="es-CR"/>
        </w:rPr>
        <w:t xml:space="preserve">(TRM) </w:t>
      </w:r>
      <w:r w:rsidR="00E45831" w:rsidRPr="00CA4E1B">
        <w:rPr>
          <w:rFonts w:ascii="Futura Lt BT" w:eastAsia="Futura Lt BT" w:hAnsi="Futura Lt BT" w:cs="Futura Lt BT"/>
          <w:lang w:val="es-CR"/>
        </w:rPr>
        <w:t xml:space="preserve">y tasas conexas, y 2) </w:t>
      </w:r>
      <w:r w:rsidR="00194CE4">
        <w:rPr>
          <w:rFonts w:ascii="Futura Lt BT" w:eastAsia="Futura Lt BT" w:hAnsi="Futura Lt BT" w:cs="Futura Lt BT"/>
          <w:lang w:val="es-CR"/>
        </w:rPr>
        <w:t xml:space="preserve">la </w:t>
      </w:r>
      <w:r w:rsidR="00E45831" w:rsidRPr="00CA4E1B">
        <w:rPr>
          <w:rFonts w:ascii="Futura Lt BT" w:eastAsia="Futura Lt BT" w:hAnsi="Futura Lt BT" w:cs="Futura Lt BT"/>
          <w:lang w:val="es-CR"/>
        </w:rPr>
        <w:t>liberación del encaje legal obligatorio en mon</w:t>
      </w:r>
      <w:r w:rsidR="00194CE4">
        <w:rPr>
          <w:rFonts w:ascii="Futura Lt BT" w:eastAsia="Futura Lt BT" w:hAnsi="Futura Lt BT" w:cs="Futura Lt BT"/>
          <w:lang w:val="es-CR"/>
        </w:rPr>
        <w:t>e</w:t>
      </w:r>
      <w:r w:rsidR="00E45831" w:rsidRPr="00CA4E1B">
        <w:rPr>
          <w:rFonts w:ascii="Futura Lt BT" w:eastAsia="Futura Lt BT" w:hAnsi="Futura Lt BT" w:cs="Futura Lt BT"/>
          <w:lang w:val="es-CR"/>
        </w:rPr>
        <w:t xml:space="preserve">da nacional hasta por un monto de C$4,000 millones. La reducción de la </w:t>
      </w:r>
      <w:r w:rsidR="00194CE4">
        <w:rPr>
          <w:rFonts w:ascii="Futura Lt BT" w:eastAsia="Futura Lt BT" w:hAnsi="Futura Lt BT" w:cs="Futura Lt BT"/>
          <w:lang w:val="es-CR"/>
        </w:rPr>
        <w:t xml:space="preserve">TRM </w:t>
      </w:r>
      <w:r w:rsidR="00E45831" w:rsidRPr="00CA4E1B">
        <w:rPr>
          <w:rFonts w:ascii="Futura Lt BT" w:eastAsia="Futura Lt BT" w:hAnsi="Futura Lt BT" w:cs="Futura Lt BT"/>
          <w:lang w:val="es-CR"/>
        </w:rPr>
        <w:t xml:space="preserve">tuvo como objetivo abaratar el costo de los reportos monetarios de la banca, señalizar condiciones más laxas de política y guardar consistencia con la evolución de las tasas de interés internacionales. El BCN realizó diez </w:t>
      </w:r>
      <w:r w:rsidR="007A5A31" w:rsidRPr="00CA4E1B">
        <w:rPr>
          <w:rFonts w:ascii="Futura Lt BT" w:eastAsia="Futura Lt BT" w:hAnsi="Futura Lt BT" w:cs="Futura Lt BT"/>
          <w:lang w:val="es-CR"/>
        </w:rPr>
        <w:t>ajustes de la TRM en 2020, pasando de 7.75% a fines de 2019 a 4% en diciembre de 2020</w:t>
      </w:r>
      <w:r w:rsidR="00D356EF">
        <w:rPr>
          <w:rFonts w:ascii="Futura Lt BT" w:eastAsia="Futura Lt BT" w:hAnsi="Futura Lt BT" w:cs="Futura Lt BT"/>
          <w:lang w:val="es-CR"/>
        </w:rPr>
        <w:t>; e</w:t>
      </w:r>
      <w:r w:rsidR="007A5A31" w:rsidRPr="00CA4E1B">
        <w:rPr>
          <w:rFonts w:ascii="Futura Lt BT" w:eastAsia="Futura Lt BT" w:hAnsi="Futura Lt BT" w:cs="Futura Lt BT"/>
          <w:lang w:val="es-CR"/>
        </w:rPr>
        <w:t xml:space="preserve">n enero </w:t>
      </w:r>
      <w:r w:rsidR="00D356EF">
        <w:rPr>
          <w:rFonts w:ascii="Futura Lt BT" w:eastAsia="Futura Lt BT" w:hAnsi="Futura Lt BT" w:cs="Futura Lt BT"/>
          <w:lang w:val="es-CR"/>
        </w:rPr>
        <w:t xml:space="preserve">de 2021 </w:t>
      </w:r>
      <w:r w:rsidR="007A5A31" w:rsidRPr="00CA4E1B">
        <w:rPr>
          <w:rFonts w:ascii="Futura Lt BT" w:eastAsia="Futura Lt BT" w:hAnsi="Futura Lt BT" w:cs="Futura Lt BT"/>
          <w:lang w:val="es-CR"/>
        </w:rPr>
        <w:t xml:space="preserve">se redujo 25 puntos base y a partir del 8 de marzo se reducirá 25 puntos </w:t>
      </w:r>
      <w:r w:rsidR="00194CE4">
        <w:rPr>
          <w:rFonts w:ascii="Futura Lt BT" w:eastAsia="Futura Lt BT" w:hAnsi="Futura Lt BT" w:cs="Futura Lt BT"/>
          <w:lang w:val="es-CR"/>
        </w:rPr>
        <w:t>b</w:t>
      </w:r>
      <w:r w:rsidR="007A5A31" w:rsidRPr="00CA4E1B">
        <w:rPr>
          <w:rFonts w:ascii="Futura Lt BT" w:eastAsia="Futura Lt BT" w:hAnsi="Futura Lt BT" w:cs="Futura Lt BT"/>
          <w:lang w:val="es-CR"/>
        </w:rPr>
        <w:t>a</w:t>
      </w:r>
      <w:r w:rsidR="00194CE4">
        <w:rPr>
          <w:rFonts w:ascii="Futura Lt BT" w:eastAsia="Futura Lt BT" w:hAnsi="Futura Lt BT" w:cs="Futura Lt BT"/>
          <w:lang w:val="es-CR"/>
        </w:rPr>
        <w:t>s</w:t>
      </w:r>
      <w:r w:rsidR="007A5A31" w:rsidRPr="00CA4E1B">
        <w:rPr>
          <w:rFonts w:ascii="Futura Lt BT" w:eastAsia="Futura Lt BT" w:hAnsi="Futura Lt BT" w:cs="Futura Lt BT"/>
          <w:lang w:val="es-CR"/>
        </w:rPr>
        <w:t>e adicionales, pa</w:t>
      </w:r>
      <w:r w:rsidR="00194CE4">
        <w:rPr>
          <w:rFonts w:ascii="Futura Lt BT" w:eastAsia="Futura Lt BT" w:hAnsi="Futura Lt BT" w:cs="Futura Lt BT"/>
          <w:lang w:val="es-CR"/>
        </w:rPr>
        <w:t>r</w:t>
      </w:r>
      <w:r w:rsidR="007A5A31" w:rsidRPr="00CA4E1B">
        <w:rPr>
          <w:rFonts w:ascii="Futura Lt BT" w:eastAsia="Futura Lt BT" w:hAnsi="Futura Lt BT" w:cs="Futura Lt BT"/>
          <w:lang w:val="es-CR"/>
        </w:rPr>
        <w:t xml:space="preserve">a ubicarse en 3.5%. </w:t>
      </w:r>
    </w:p>
    <w:p w14:paraId="15863E8B" w14:textId="793CF08F" w:rsidR="003026DB" w:rsidRPr="00CA4E1B" w:rsidRDefault="007A5A31" w:rsidP="00EF49B6">
      <w:pPr>
        <w:pStyle w:val="Body"/>
        <w:spacing w:before="120" w:after="240" w:line="240" w:lineRule="auto"/>
        <w:ind w:firstLine="709"/>
        <w:jc w:val="both"/>
        <w:rPr>
          <w:rFonts w:ascii="Futura Lt BT" w:eastAsia="Futura Lt BT" w:hAnsi="Futura Lt BT" w:cs="Futura Lt BT"/>
          <w:lang w:val="es-CR"/>
        </w:rPr>
      </w:pPr>
      <w:r w:rsidRPr="00CA4E1B">
        <w:rPr>
          <w:rFonts w:ascii="Futura Lt BT" w:eastAsia="Futura Lt BT" w:hAnsi="Futura Lt BT" w:cs="Futura Lt BT"/>
          <w:lang w:val="es-CR"/>
        </w:rPr>
        <w:t xml:space="preserve">Informó que la actividad financiera sigue estabilizándose: los depósitos crecieron 15.1% interanual y la variación del crédito fue la menos negativa desde noviembre de 2018 (-3.7% interanual). Las disponibilidades del sector bancario representaron el 40% de las obligaciones, la adecuación de capital se ubicó en 21.8% y la cartera vencida </w:t>
      </w:r>
      <w:r w:rsidR="00615B23">
        <w:rPr>
          <w:rFonts w:ascii="Futura Lt BT" w:eastAsia="Futura Lt BT" w:hAnsi="Futura Lt BT" w:cs="Futura Lt BT"/>
          <w:lang w:val="es-CR"/>
        </w:rPr>
        <w:t>y</w:t>
      </w:r>
      <w:r w:rsidRPr="00CA4E1B">
        <w:rPr>
          <w:rFonts w:ascii="Futura Lt BT" w:eastAsia="Futura Lt BT" w:hAnsi="Futura Lt BT" w:cs="Futura Lt BT"/>
          <w:lang w:val="es-CR"/>
        </w:rPr>
        <w:t xml:space="preserve"> en cobro judicial representó el 4% de la cartera bruta. El comportamiento del índice de condiciones de intermediación financiera sigue reflejando condiciones cada vez menos estrechas</w:t>
      </w:r>
      <w:r w:rsidR="00615B23">
        <w:rPr>
          <w:rFonts w:ascii="Futura Lt BT" w:eastAsia="Futura Lt BT" w:hAnsi="Futura Lt BT" w:cs="Futura Lt BT"/>
          <w:lang w:val="es-CR"/>
        </w:rPr>
        <w:t>, p</w:t>
      </w:r>
      <w:r w:rsidR="00732342" w:rsidRPr="00CA4E1B">
        <w:rPr>
          <w:rFonts w:ascii="Futura Lt BT" w:eastAsia="Futura Lt BT" w:hAnsi="Futura Lt BT" w:cs="Futura Lt BT"/>
          <w:lang w:val="es-CR"/>
        </w:rPr>
        <w:t xml:space="preserve">ero el crédito </w:t>
      </w:r>
      <w:r w:rsidR="00EA65F9">
        <w:rPr>
          <w:rFonts w:ascii="Futura Lt BT" w:eastAsia="Futura Lt BT" w:hAnsi="Futura Lt BT" w:cs="Futura Lt BT"/>
          <w:lang w:val="es-CR"/>
        </w:rPr>
        <w:t>no se ha podido reactivar</w:t>
      </w:r>
      <w:r w:rsidR="00732342" w:rsidRPr="00CA4E1B">
        <w:rPr>
          <w:rFonts w:ascii="Futura Lt BT" w:eastAsia="Futura Lt BT" w:hAnsi="Futura Lt BT" w:cs="Futura Lt BT"/>
          <w:lang w:val="es-CR"/>
        </w:rPr>
        <w:t xml:space="preserve">, </w:t>
      </w:r>
      <w:r w:rsidR="00D356EF">
        <w:rPr>
          <w:rFonts w:ascii="Futura Lt BT" w:eastAsia="Futura Lt BT" w:hAnsi="Futura Lt BT" w:cs="Futura Lt BT"/>
          <w:lang w:val="es-CR"/>
        </w:rPr>
        <w:t xml:space="preserve">pues </w:t>
      </w:r>
      <w:r w:rsidR="00732342" w:rsidRPr="00CA4E1B">
        <w:rPr>
          <w:rFonts w:ascii="Futura Lt BT" w:eastAsia="Futura Lt BT" w:hAnsi="Futura Lt BT" w:cs="Futura Lt BT"/>
          <w:lang w:val="es-CR"/>
        </w:rPr>
        <w:t xml:space="preserve">la banca está muy cautelosa, al igual que los usuarios. A nivel de finanzas públicas, </w:t>
      </w:r>
      <w:r w:rsidR="00D356EF">
        <w:rPr>
          <w:rFonts w:ascii="Futura Lt BT" w:eastAsia="Futura Lt BT" w:hAnsi="Futura Lt BT" w:cs="Futura Lt BT"/>
          <w:lang w:val="es-CR"/>
        </w:rPr>
        <w:t xml:space="preserve">informó que </w:t>
      </w:r>
      <w:r w:rsidR="00732342" w:rsidRPr="00CA4E1B">
        <w:rPr>
          <w:rFonts w:ascii="Futura Lt BT" w:eastAsia="Futura Lt BT" w:hAnsi="Futura Lt BT" w:cs="Futura Lt BT"/>
          <w:lang w:val="es-CR"/>
        </w:rPr>
        <w:t xml:space="preserve">estas se mantienen sostenibles en el crecimiento de la recaudación y de los flujos de financiamiento. En 2020 el sector público no financiero registró un déficit acumulado de C$10,849.6 millones (2.6% del PIB) consistente con la variación </w:t>
      </w:r>
      <w:r w:rsidR="00E550BE" w:rsidRPr="00CA4E1B">
        <w:rPr>
          <w:rFonts w:ascii="Futura Lt BT" w:eastAsia="Futura Lt BT" w:hAnsi="Futura Lt BT" w:cs="Futura Lt BT"/>
          <w:lang w:val="es-CR"/>
        </w:rPr>
        <w:t xml:space="preserve">interanual de la erogación total del 8%, frente a una variación de los ingresos de 5.4%. </w:t>
      </w:r>
      <w:r w:rsidR="00D356EF">
        <w:rPr>
          <w:rFonts w:ascii="Futura Lt BT" w:eastAsia="Futura Lt BT" w:hAnsi="Futura Lt BT" w:cs="Futura Lt BT"/>
          <w:lang w:val="es-CR"/>
        </w:rPr>
        <w:t>E</w:t>
      </w:r>
      <w:r w:rsidR="00E550BE" w:rsidRPr="00CA4E1B">
        <w:rPr>
          <w:rFonts w:ascii="Futura Lt BT" w:eastAsia="Futura Lt BT" w:hAnsi="Futura Lt BT" w:cs="Futura Lt BT"/>
          <w:lang w:val="es-CR"/>
        </w:rPr>
        <w:t xml:space="preserve">l déficit </w:t>
      </w:r>
      <w:r w:rsidR="00D356EF" w:rsidRPr="00CA4E1B">
        <w:rPr>
          <w:rFonts w:ascii="Futura Lt BT" w:eastAsia="Futura Lt BT" w:hAnsi="Futura Lt BT" w:cs="Futura Lt BT"/>
          <w:lang w:val="es-CR"/>
        </w:rPr>
        <w:t xml:space="preserve">del </w:t>
      </w:r>
      <w:r w:rsidR="00D356EF">
        <w:rPr>
          <w:rFonts w:ascii="Futura Lt BT" w:eastAsia="Futura Lt BT" w:hAnsi="Futura Lt BT" w:cs="Futura Lt BT"/>
          <w:lang w:val="es-CR"/>
        </w:rPr>
        <w:t>G</w:t>
      </w:r>
      <w:r w:rsidR="00D356EF" w:rsidRPr="00CA4E1B">
        <w:rPr>
          <w:rFonts w:ascii="Futura Lt BT" w:eastAsia="Futura Lt BT" w:hAnsi="Futura Lt BT" w:cs="Futura Lt BT"/>
          <w:lang w:val="es-CR"/>
        </w:rPr>
        <w:t xml:space="preserve">obierno </w:t>
      </w:r>
      <w:r w:rsidR="00D356EF">
        <w:rPr>
          <w:rFonts w:ascii="Futura Lt BT" w:eastAsia="Futura Lt BT" w:hAnsi="Futura Lt BT" w:cs="Futura Lt BT"/>
          <w:lang w:val="es-CR"/>
        </w:rPr>
        <w:t>C</w:t>
      </w:r>
      <w:r w:rsidR="00D356EF" w:rsidRPr="00CA4E1B">
        <w:rPr>
          <w:rFonts w:ascii="Futura Lt BT" w:eastAsia="Futura Lt BT" w:hAnsi="Futura Lt BT" w:cs="Futura Lt BT"/>
          <w:lang w:val="es-CR"/>
        </w:rPr>
        <w:t xml:space="preserve">entral </w:t>
      </w:r>
      <w:r w:rsidR="00E550BE" w:rsidRPr="00CA4E1B">
        <w:rPr>
          <w:rFonts w:ascii="Futura Lt BT" w:eastAsia="Futura Lt BT" w:hAnsi="Futura Lt BT" w:cs="Futura Lt BT"/>
          <w:lang w:val="es-CR"/>
        </w:rPr>
        <w:t xml:space="preserve">fue de C$4,485.2 millones (1.1% del PIB). Los ingresos totales del gobierno aumentaron 1.9% interanual y la erogación total en 8%. </w:t>
      </w:r>
      <w:r w:rsidR="00D356EF">
        <w:rPr>
          <w:rFonts w:ascii="Futura Lt BT" w:eastAsia="Futura Lt BT" w:hAnsi="Futura Lt BT" w:cs="Futura Lt BT"/>
          <w:lang w:val="es-CR"/>
        </w:rPr>
        <w:t>Señaló que l</w:t>
      </w:r>
      <w:r w:rsidR="00E550BE" w:rsidRPr="00CA4E1B">
        <w:rPr>
          <w:rFonts w:ascii="Futura Lt BT" w:eastAsia="Futura Lt BT" w:hAnsi="Futura Lt BT" w:cs="Futura Lt BT"/>
          <w:lang w:val="es-CR"/>
        </w:rPr>
        <w:t>os flujos de financiamiento con préstamos extranjeros y colocaciones del BRN se mantuvieron dinámicos</w:t>
      </w:r>
      <w:r w:rsidR="00D356EF">
        <w:rPr>
          <w:rFonts w:ascii="Futura Lt BT" w:eastAsia="Futura Lt BT" w:hAnsi="Futura Lt BT" w:cs="Futura Lt BT"/>
          <w:lang w:val="es-CR"/>
        </w:rPr>
        <w:t xml:space="preserve">, y que </w:t>
      </w:r>
      <w:r w:rsidR="00E550BE" w:rsidRPr="00CA4E1B">
        <w:rPr>
          <w:rFonts w:ascii="Futura Lt BT" w:eastAsia="Futura Lt BT" w:hAnsi="Futura Lt BT" w:cs="Futura Lt BT"/>
          <w:lang w:val="es-CR"/>
        </w:rPr>
        <w:t>los desembolsos de préstamos externos y las colocaciones de BRN aumentaron respecto al 2019</w:t>
      </w:r>
      <w:r w:rsidR="003026DB" w:rsidRPr="00CA4E1B">
        <w:rPr>
          <w:rFonts w:ascii="Futura Lt BT" w:eastAsia="Futura Lt BT" w:hAnsi="Futura Lt BT" w:cs="Futura Lt BT"/>
          <w:lang w:val="es-CR"/>
        </w:rPr>
        <w:t>.</w:t>
      </w:r>
      <w:r w:rsidR="00E550BE" w:rsidRPr="00CA4E1B">
        <w:rPr>
          <w:rFonts w:ascii="Futura Lt BT" w:eastAsia="Futura Lt BT" w:hAnsi="Futura Lt BT" w:cs="Futura Lt BT"/>
          <w:lang w:val="es-CR"/>
        </w:rPr>
        <w:t xml:space="preserve"> L</w:t>
      </w:r>
      <w:r w:rsidR="003026DB" w:rsidRPr="00CA4E1B">
        <w:rPr>
          <w:rFonts w:ascii="Futura Lt BT" w:eastAsia="Futura Lt BT" w:hAnsi="Futura Lt BT" w:cs="Futura Lt BT"/>
          <w:lang w:val="es-CR"/>
        </w:rPr>
        <w:t>a</w:t>
      </w:r>
      <w:r w:rsidR="00E550BE" w:rsidRPr="00CA4E1B">
        <w:rPr>
          <w:rFonts w:ascii="Futura Lt BT" w:eastAsia="Futura Lt BT" w:hAnsi="Futura Lt BT" w:cs="Futura Lt BT"/>
          <w:lang w:val="es-CR"/>
        </w:rPr>
        <w:t xml:space="preserve"> deuda pú</w:t>
      </w:r>
      <w:r w:rsidR="003026DB" w:rsidRPr="00CA4E1B">
        <w:rPr>
          <w:rFonts w:ascii="Futura Lt BT" w:eastAsia="Futura Lt BT" w:hAnsi="Futura Lt BT" w:cs="Futura Lt BT"/>
          <w:lang w:val="es-CR"/>
        </w:rPr>
        <w:t>b</w:t>
      </w:r>
      <w:r w:rsidR="00E550BE" w:rsidRPr="00CA4E1B">
        <w:rPr>
          <w:rFonts w:ascii="Futura Lt BT" w:eastAsia="Futura Lt BT" w:hAnsi="Futura Lt BT" w:cs="Futura Lt BT"/>
          <w:lang w:val="es-CR"/>
        </w:rPr>
        <w:t>lica se mantiene en niveles sostenibles, aunque ha crecido en términos del PIB</w:t>
      </w:r>
      <w:r w:rsidR="00D356EF">
        <w:rPr>
          <w:rFonts w:ascii="Futura Lt BT" w:eastAsia="Futura Lt BT" w:hAnsi="Futura Lt BT" w:cs="Futura Lt BT"/>
          <w:lang w:val="es-CR"/>
        </w:rPr>
        <w:t>,</w:t>
      </w:r>
      <w:r w:rsidR="00E550BE" w:rsidRPr="00CA4E1B">
        <w:rPr>
          <w:rFonts w:ascii="Futura Lt BT" w:eastAsia="Futura Lt BT" w:hAnsi="Futura Lt BT" w:cs="Futura Lt BT"/>
          <w:lang w:val="es-CR"/>
        </w:rPr>
        <w:t xml:space="preserve"> debido al menor nivel de éste y al aumento en desembolsos de </w:t>
      </w:r>
      <w:r w:rsidR="003026DB" w:rsidRPr="00CA4E1B">
        <w:rPr>
          <w:rFonts w:ascii="Futura Lt BT" w:eastAsia="Futura Lt BT" w:hAnsi="Futura Lt BT" w:cs="Futura Lt BT"/>
          <w:lang w:val="es-CR"/>
        </w:rPr>
        <w:t>p</w:t>
      </w:r>
      <w:r w:rsidR="00E550BE" w:rsidRPr="00CA4E1B">
        <w:rPr>
          <w:rFonts w:ascii="Futura Lt BT" w:eastAsia="Futura Lt BT" w:hAnsi="Futura Lt BT" w:cs="Futura Lt BT"/>
          <w:lang w:val="es-CR"/>
        </w:rPr>
        <w:t xml:space="preserve">réstamos concesionales de </w:t>
      </w:r>
      <w:r w:rsidR="00615B23">
        <w:rPr>
          <w:rFonts w:ascii="Futura Lt BT" w:eastAsia="Futura Lt BT" w:hAnsi="Futura Lt BT" w:cs="Futura Lt BT"/>
          <w:lang w:val="es-CR"/>
        </w:rPr>
        <w:t>a</w:t>
      </w:r>
      <w:r w:rsidR="00E550BE" w:rsidRPr="00CA4E1B">
        <w:rPr>
          <w:rFonts w:ascii="Futura Lt BT" w:eastAsia="Futura Lt BT" w:hAnsi="Futura Lt BT" w:cs="Futura Lt BT"/>
          <w:lang w:val="es-CR"/>
        </w:rPr>
        <w:t>creedores multilaterales y bilaterales.</w:t>
      </w:r>
      <w:r w:rsidR="003026DB" w:rsidRPr="00CA4E1B">
        <w:rPr>
          <w:rFonts w:ascii="Futura Lt BT" w:eastAsia="Futura Lt BT" w:hAnsi="Futura Lt BT" w:cs="Futura Lt BT"/>
          <w:lang w:val="es-CR"/>
        </w:rPr>
        <w:t xml:space="preserve"> Las exportaciones de mercancías se ubicaron en niveles récord, crecieron 5.8% interanual en 2020, favorecidas por una mejora en los términos de intercambio del 16.2% y por mayores volúmenes, lo que</w:t>
      </w:r>
      <w:r w:rsidR="00D356EF">
        <w:rPr>
          <w:rFonts w:ascii="Futura Lt BT" w:eastAsia="Futura Lt BT" w:hAnsi="Futura Lt BT" w:cs="Futura Lt BT"/>
          <w:lang w:val="es-CR"/>
        </w:rPr>
        <w:t>,</w:t>
      </w:r>
      <w:r w:rsidR="003026DB" w:rsidRPr="00CA4E1B">
        <w:rPr>
          <w:rFonts w:ascii="Futura Lt BT" w:eastAsia="Futura Lt BT" w:hAnsi="Futura Lt BT" w:cs="Futura Lt BT"/>
          <w:lang w:val="es-CR"/>
        </w:rPr>
        <w:t xml:space="preserve"> aunado a un moderado crecimiento de las importaciones de mercancías FOB (1.4%), permitió que el déficit comercial continuara disminuyendo (-5.8% interanual). Las exportaciones de zonas francas se han recuperado de los efectos de la crisis sanitaria</w:t>
      </w:r>
      <w:r w:rsidR="00D356EF">
        <w:rPr>
          <w:rFonts w:ascii="Futura Lt BT" w:eastAsia="Futura Lt BT" w:hAnsi="Futura Lt BT" w:cs="Futura Lt BT"/>
          <w:lang w:val="es-CR"/>
        </w:rPr>
        <w:t>, al igual que l</w:t>
      </w:r>
      <w:r w:rsidR="003026DB" w:rsidRPr="00CA4E1B">
        <w:rPr>
          <w:rFonts w:ascii="Futura Lt BT" w:eastAsia="Futura Lt BT" w:hAnsi="Futura Lt BT" w:cs="Futura Lt BT"/>
          <w:lang w:val="es-CR"/>
        </w:rPr>
        <w:t>as importaciones</w:t>
      </w:r>
      <w:r w:rsidR="00D356EF">
        <w:rPr>
          <w:rFonts w:ascii="Futura Lt BT" w:eastAsia="Futura Lt BT" w:hAnsi="Futura Lt BT" w:cs="Futura Lt BT"/>
          <w:lang w:val="es-CR"/>
        </w:rPr>
        <w:t>, las que</w:t>
      </w:r>
      <w:r w:rsidR="003026DB" w:rsidRPr="00CA4E1B">
        <w:rPr>
          <w:rFonts w:ascii="Futura Lt BT" w:eastAsia="Futura Lt BT" w:hAnsi="Futura Lt BT" w:cs="Futura Lt BT"/>
          <w:lang w:val="es-CR"/>
        </w:rPr>
        <w:t xml:space="preserve"> totalizaron </w:t>
      </w:r>
      <w:r w:rsidR="000C100C" w:rsidRPr="00CA4E1B">
        <w:rPr>
          <w:rFonts w:ascii="Futura Lt BT" w:eastAsia="Futura Lt BT" w:hAnsi="Futura Lt BT" w:cs="Futura Lt BT"/>
          <w:lang w:val="es-CR"/>
        </w:rPr>
        <w:t>USD4,768.4 millones</w:t>
      </w:r>
      <w:r w:rsidR="003026DB" w:rsidRPr="00CA4E1B">
        <w:rPr>
          <w:rFonts w:ascii="Futura Lt BT" w:eastAsia="Futura Lt BT" w:hAnsi="Futura Lt BT" w:cs="Futura Lt BT"/>
          <w:lang w:val="es-CR"/>
        </w:rPr>
        <w:t xml:space="preserve"> </w:t>
      </w:r>
      <w:r w:rsidR="000C100C" w:rsidRPr="00CA4E1B">
        <w:rPr>
          <w:rFonts w:ascii="Futura Lt BT" w:eastAsia="Futura Lt BT" w:hAnsi="Futura Lt BT" w:cs="Futura Lt BT"/>
          <w:lang w:val="es-CR"/>
        </w:rPr>
        <w:t xml:space="preserve">en 2020, lo que representó un crecimiento de 1.9% interanual. </w:t>
      </w:r>
      <w:r w:rsidR="00615B23">
        <w:rPr>
          <w:rFonts w:ascii="Futura Lt BT" w:eastAsia="Futura Lt BT" w:hAnsi="Futura Lt BT" w:cs="Futura Lt BT"/>
          <w:lang w:val="es-CR"/>
        </w:rPr>
        <w:t>Su</w:t>
      </w:r>
      <w:r w:rsidR="000C100C" w:rsidRPr="00CA4E1B">
        <w:rPr>
          <w:rFonts w:ascii="Futura Lt BT" w:eastAsia="Futura Lt BT" w:hAnsi="Futura Lt BT" w:cs="Futura Lt BT"/>
          <w:lang w:val="es-CR"/>
        </w:rPr>
        <w:t xml:space="preserve"> evolución estuvo determinada</w:t>
      </w:r>
      <w:r w:rsidR="00D356EF">
        <w:rPr>
          <w:rFonts w:ascii="Futura Lt BT" w:eastAsia="Futura Lt BT" w:hAnsi="Futura Lt BT" w:cs="Futura Lt BT"/>
          <w:lang w:val="es-CR"/>
        </w:rPr>
        <w:t>,</w:t>
      </w:r>
      <w:r w:rsidR="000C100C" w:rsidRPr="00CA4E1B">
        <w:rPr>
          <w:rFonts w:ascii="Futura Lt BT" w:eastAsia="Futura Lt BT" w:hAnsi="Futura Lt BT" w:cs="Futura Lt BT"/>
          <w:lang w:val="es-CR"/>
        </w:rPr>
        <w:t xml:space="preserve"> en parte</w:t>
      </w:r>
      <w:r w:rsidR="00D356EF">
        <w:rPr>
          <w:rFonts w:ascii="Futura Lt BT" w:eastAsia="Futura Lt BT" w:hAnsi="Futura Lt BT" w:cs="Futura Lt BT"/>
          <w:lang w:val="es-CR"/>
        </w:rPr>
        <w:t>,</w:t>
      </w:r>
      <w:r w:rsidR="000C100C" w:rsidRPr="00CA4E1B">
        <w:rPr>
          <w:rFonts w:ascii="Futura Lt BT" w:eastAsia="Futura Lt BT" w:hAnsi="Futura Lt BT" w:cs="Futura Lt BT"/>
          <w:lang w:val="es-CR"/>
        </w:rPr>
        <w:t xml:space="preserve"> por la menor factura petrolera (menores volúmenes importados y precios internacionales). Algunos flujos externos en la balanza de pagos se están estabilizando después del impacto inicial de la pandemia. El dinamismo de las remesas familiares favoreció la mejora en la cuenta corriente de la balanza de pagos: las remesas crecieron 10% en 2020 y 12.1% en enero de 2021; en tanto que</w:t>
      </w:r>
      <w:r w:rsidR="00615B23">
        <w:rPr>
          <w:rFonts w:ascii="Futura Lt BT" w:eastAsia="Futura Lt BT" w:hAnsi="Futura Lt BT" w:cs="Futura Lt BT"/>
          <w:lang w:val="es-CR"/>
        </w:rPr>
        <w:t>,</w:t>
      </w:r>
      <w:r w:rsidR="000C100C" w:rsidRPr="00CA4E1B">
        <w:rPr>
          <w:rFonts w:ascii="Futura Lt BT" w:eastAsia="Futura Lt BT" w:hAnsi="Futura Lt BT" w:cs="Futura Lt BT"/>
          <w:lang w:val="es-CR"/>
        </w:rPr>
        <w:t xml:space="preserve"> como resultado del cierre de fronteras y restricciones de viajes, los ingresos por exportaciones de servicios</w:t>
      </w:r>
      <w:r w:rsidR="00615B23">
        <w:rPr>
          <w:rFonts w:ascii="Futura Lt BT" w:eastAsia="Futura Lt BT" w:hAnsi="Futura Lt BT" w:cs="Futura Lt BT"/>
          <w:lang w:val="es-CR"/>
        </w:rPr>
        <w:t>,</w:t>
      </w:r>
      <w:r w:rsidR="000C100C" w:rsidRPr="00CA4E1B">
        <w:rPr>
          <w:rFonts w:ascii="Futura Lt BT" w:eastAsia="Futura Lt BT" w:hAnsi="Futura Lt BT" w:cs="Futura Lt BT"/>
          <w:lang w:val="es-CR"/>
        </w:rPr>
        <w:t xml:space="preserve"> entre </w:t>
      </w:r>
      <w:r w:rsidR="00D356EF">
        <w:rPr>
          <w:rFonts w:ascii="Futura Lt BT" w:eastAsia="Futura Lt BT" w:hAnsi="Futura Lt BT" w:cs="Futura Lt BT"/>
          <w:lang w:val="es-CR"/>
        </w:rPr>
        <w:t>el</w:t>
      </w:r>
      <w:r w:rsidR="000C100C" w:rsidRPr="00CA4E1B">
        <w:rPr>
          <w:rFonts w:ascii="Futura Lt BT" w:eastAsia="Futura Lt BT" w:hAnsi="Futura Lt BT" w:cs="Futura Lt BT"/>
          <w:lang w:val="es-CR"/>
        </w:rPr>
        <w:t xml:space="preserve">los el turismo, disminuyeron en 2020. </w:t>
      </w:r>
      <w:r w:rsidR="00D356EF">
        <w:rPr>
          <w:rFonts w:ascii="Futura Lt BT" w:eastAsia="Futura Lt BT" w:hAnsi="Futura Lt BT" w:cs="Futura Lt BT"/>
          <w:lang w:val="es-CR"/>
        </w:rPr>
        <w:t>Finalmente, indicó que l</w:t>
      </w:r>
      <w:r w:rsidR="000C100C" w:rsidRPr="00CA4E1B">
        <w:rPr>
          <w:rFonts w:ascii="Futura Lt BT" w:eastAsia="Futura Lt BT" w:hAnsi="Futura Lt BT" w:cs="Futura Lt BT"/>
          <w:lang w:val="es-CR"/>
        </w:rPr>
        <w:t xml:space="preserve">as estimaciones para 2021 reflejan que Nicaragua retoma el crecimiento: el BCN estima un crecimiento del PIB en un rango entre 2% y 3%; la inflación en torno al 4%; se espera que el superávit de la cuenta corriente se reduzca por mayores importaciones de mercancías; el sistema financiero continuará con crecimiento de los depósitos y se espera que se reactive el </w:t>
      </w:r>
      <w:r w:rsidR="001F1061" w:rsidRPr="00CA4E1B">
        <w:rPr>
          <w:rFonts w:ascii="Futura Lt BT" w:eastAsia="Futura Lt BT" w:hAnsi="Futura Lt BT" w:cs="Futura Lt BT"/>
          <w:lang w:val="es-CR"/>
        </w:rPr>
        <w:t xml:space="preserve">crédito; y </w:t>
      </w:r>
      <w:r w:rsidR="00D356EF">
        <w:rPr>
          <w:rFonts w:ascii="Futura Lt BT" w:eastAsia="Futura Lt BT" w:hAnsi="Futura Lt BT" w:cs="Futura Lt BT"/>
          <w:lang w:val="es-CR"/>
        </w:rPr>
        <w:t xml:space="preserve">que </w:t>
      </w:r>
      <w:r w:rsidR="001F1061" w:rsidRPr="00CA4E1B">
        <w:rPr>
          <w:rFonts w:ascii="Futura Lt BT" w:eastAsia="Futura Lt BT" w:hAnsi="Futura Lt BT" w:cs="Futura Lt BT"/>
          <w:lang w:val="es-CR"/>
        </w:rPr>
        <w:t xml:space="preserve">el déficit del sector público no financiero será relativamente moderado, por mayor recuperación de los ingresos tributarios, aunque se espera </w:t>
      </w:r>
      <w:r w:rsidR="00D356EF">
        <w:rPr>
          <w:rFonts w:ascii="Futura Lt BT" w:eastAsia="Futura Lt BT" w:hAnsi="Futura Lt BT" w:cs="Futura Lt BT"/>
          <w:lang w:val="es-CR"/>
        </w:rPr>
        <w:t xml:space="preserve">un </w:t>
      </w:r>
      <w:r w:rsidR="001F1061" w:rsidRPr="00CA4E1B">
        <w:rPr>
          <w:rFonts w:ascii="Futura Lt BT" w:eastAsia="Futura Lt BT" w:hAnsi="Futura Lt BT" w:cs="Futura Lt BT"/>
          <w:lang w:val="es-CR"/>
        </w:rPr>
        <w:t xml:space="preserve">incremento del gasto principalmente en salud y </w:t>
      </w:r>
      <w:r w:rsidR="00703E39">
        <w:rPr>
          <w:rFonts w:ascii="Futura Lt BT" w:eastAsia="Futura Lt BT" w:hAnsi="Futura Lt BT" w:cs="Futura Lt BT"/>
          <w:lang w:val="es-CR"/>
        </w:rPr>
        <w:t>re</w:t>
      </w:r>
      <w:r w:rsidR="001F1061" w:rsidRPr="00CA4E1B">
        <w:rPr>
          <w:rFonts w:ascii="Futura Lt BT" w:eastAsia="Futura Lt BT" w:hAnsi="Futura Lt BT" w:cs="Futura Lt BT"/>
          <w:lang w:val="es-CR"/>
        </w:rPr>
        <w:t>construcción.</w:t>
      </w:r>
    </w:p>
    <w:p w14:paraId="30388058" w14:textId="67DA88AB" w:rsidR="00A76E2E" w:rsidRPr="008E35EA" w:rsidRDefault="00EF49B6" w:rsidP="00EF49B6">
      <w:pPr>
        <w:pStyle w:val="Body"/>
        <w:spacing w:before="120" w:after="240" w:line="240" w:lineRule="auto"/>
        <w:ind w:firstLine="709"/>
        <w:jc w:val="both"/>
        <w:rPr>
          <w:rFonts w:ascii="Futura Lt BT" w:eastAsia="Futura Lt BT" w:hAnsi="Futura Lt BT" w:cs="Futura Lt BT"/>
          <w:lang w:val="es-CR"/>
        </w:rPr>
      </w:pPr>
      <w:r w:rsidRPr="008E35EA">
        <w:rPr>
          <w:rFonts w:ascii="Futura Lt BT" w:eastAsia="Futura Lt BT" w:hAnsi="Futura Lt BT" w:cs="Futura Lt BT"/>
          <w:lang w:val="es-CR"/>
        </w:rPr>
        <w:t>El Presidente del Banco Central de Reserva de El Salvador, señor Douglas Rodríguez, informó que</w:t>
      </w:r>
      <w:r w:rsidR="008C5837" w:rsidRPr="008E35EA">
        <w:rPr>
          <w:rFonts w:ascii="Futura Lt BT" w:eastAsia="Futura Lt BT" w:hAnsi="Futura Lt BT" w:cs="Futura Lt BT"/>
          <w:lang w:val="es-CR"/>
        </w:rPr>
        <w:t xml:space="preserve"> </w:t>
      </w:r>
      <w:r w:rsidR="008E35EA">
        <w:rPr>
          <w:rFonts w:ascii="Futura Lt BT" w:eastAsia="Futura Lt BT" w:hAnsi="Futura Lt BT" w:cs="Futura Lt BT"/>
          <w:lang w:val="es-CR"/>
        </w:rPr>
        <w:t xml:space="preserve">su país </w:t>
      </w:r>
      <w:r w:rsidR="008C5837" w:rsidRPr="008E35EA">
        <w:rPr>
          <w:rFonts w:ascii="Futura Lt BT" w:eastAsia="Futura Lt BT" w:hAnsi="Futura Lt BT" w:cs="Futura Lt BT"/>
          <w:lang w:val="es-CR"/>
        </w:rPr>
        <w:t xml:space="preserve">ha sido el que menos casos y muertes ha </w:t>
      </w:r>
      <w:r w:rsidR="008E35EA">
        <w:rPr>
          <w:rFonts w:ascii="Futura Lt BT" w:eastAsia="Futura Lt BT" w:hAnsi="Futura Lt BT" w:cs="Futura Lt BT"/>
          <w:lang w:val="es-CR"/>
        </w:rPr>
        <w:t>tenido durante</w:t>
      </w:r>
      <w:r w:rsidR="008C5837" w:rsidRPr="008E35EA">
        <w:rPr>
          <w:rFonts w:ascii="Futura Lt BT" w:eastAsia="Futura Lt BT" w:hAnsi="Futura Lt BT" w:cs="Futura Lt BT"/>
          <w:lang w:val="es-CR"/>
        </w:rPr>
        <w:t xml:space="preserve"> la pandemia</w:t>
      </w:r>
      <w:r w:rsidR="008E35EA">
        <w:rPr>
          <w:rFonts w:ascii="Futura Lt BT" w:eastAsia="Futura Lt BT" w:hAnsi="Futura Lt BT" w:cs="Futura Lt BT"/>
          <w:lang w:val="es-CR"/>
        </w:rPr>
        <w:t xml:space="preserve"> en la región</w:t>
      </w:r>
      <w:r w:rsidR="008C5837" w:rsidRPr="008E35EA">
        <w:rPr>
          <w:rFonts w:ascii="Futura Lt BT" w:eastAsia="Futura Lt BT" w:hAnsi="Futura Lt BT" w:cs="Futura Lt BT"/>
          <w:lang w:val="es-CR"/>
        </w:rPr>
        <w:t xml:space="preserve">, y que la vacunación universal, gratuita y voluntaria inició el mes pasado y con ella </w:t>
      </w:r>
      <w:r w:rsidR="008E35EA">
        <w:rPr>
          <w:rFonts w:ascii="Futura Lt BT" w:eastAsia="Futura Lt BT" w:hAnsi="Futura Lt BT" w:cs="Futura Lt BT"/>
          <w:lang w:val="es-CR"/>
        </w:rPr>
        <w:t xml:space="preserve">se </w:t>
      </w:r>
      <w:r w:rsidR="008C5837" w:rsidRPr="008E35EA">
        <w:rPr>
          <w:rFonts w:ascii="Futura Lt BT" w:eastAsia="Futura Lt BT" w:hAnsi="Futura Lt BT" w:cs="Futura Lt BT"/>
          <w:lang w:val="es-CR"/>
        </w:rPr>
        <w:t xml:space="preserve">espera reducir el impacto de la pandemia y retomar con mayor normalidad las actividades productivas. En cuanto a indicadores económicos, señaló que se espera que las remesas </w:t>
      </w:r>
      <w:r w:rsidR="00325C78">
        <w:rPr>
          <w:rFonts w:ascii="Futura Lt BT" w:eastAsia="Futura Lt BT" w:hAnsi="Futura Lt BT" w:cs="Futura Lt BT"/>
          <w:lang w:val="es-CR"/>
        </w:rPr>
        <w:t>mantengan</w:t>
      </w:r>
      <w:r w:rsidR="008C5837" w:rsidRPr="008E35EA">
        <w:rPr>
          <w:rFonts w:ascii="Futura Lt BT" w:eastAsia="Futura Lt BT" w:hAnsi="Futura Lt BT" w:cs="Futura Lt BT"/>
          <w:lang w:val="es-CR"/>
        </w:rPr>
        <w:t xml:space="preserve"> su dinamismo en 2021; </w:t>
      </w:r>
      <w:r w:rsidR="008C5837" w:rsidRPr="008E35EA">
        <w:rPr>
          <w:rFonts w:ascii="Futura Lt BT" w:eastAsia="Futura Lt BT" w:hAnsi="Futura Lt BT" w:cs="Futura Lt BT"/>
          <w:lang w:val="es-CR"/>
        </w:rPr>
        <w:lastRenderedPageBreak/>
        <w:t>en los primeros meses de este año han mostrado un importante crecimiento</w:t>
      </w:r>
      <w:r w:rsidR="008E35EA">
        <w:rPr>
          <w:rFonts w:ascii="Futura Lt BT" w:eastAsia="Futura Lt BT" w:hAnsi="Futura Lt BT" w:cs="Futura Lt BT"/>
          <w:lang w:val="es-CR"/>
        </w:rPr>
        <w:t xml:space="preserve">, pues </w:t>
      </w:r>
      <w:r w:rsidR="008C5837" w:rsidRPr="008E35EA">
        <w:rPr>
          <w:rFonts w:ascii="Futura Lt BT" w:eastAsia="Futura Lt BT" w:hAnsi="Futura Lt BT" w:cs="Futura Lt BT"/>
          <w:lang w:val="es-CR"/>
        </w:rPr>
        <w:t xml:space="preserve">en enero se recibieron más de USD515 millones, incrementando un 21.5% respecto a enero de 2020, lo que significa que la mano de obra salvadoreña en el extranjero </w:t>
      </w:r>
      <w:r w:rsidR="00593207" w:rsidRPr="008E35EA">
        <w:rPr>
          <w:rFonts w:ascii="Futura Lt BT" w:eastAsia="Futura Lt BT" w:hAnsi="Futura Lt BT" w:cs="Futura Lt BT"/>
          <w:lang w:val="es-CR"/>
        </w:rPr>
        <w:t>es</w:t>
      </w:r>
      <w:r w:rsidR="008C5837" w:rsidRPr="008E35EA">
        <w:rPr>
          <w:rFonts w:ascii="Futura Lt BT" w:eastAsia="Futura Lt BT" w:hAnsi="Futura Lt BT" w:cs="Futura Lt BT"/>
          <w:lang w:val="es-CR"/>
        </w:rPr>
        <w:t xml:space="preserve"> bien valorada (hay alrededor de 3.3 millones de salvadoreños en el extranjero) y aproximadamente un 24% de los hogares recibe mensualmente una remesa</w:t>
      </w:r>
      <w:r w:rsidR="00593207" w:rsidRPr="008E35EA">
        <w:rPr>
          <w:rFonts w:ascii="Futura Lt BT" w:eastAsia="Futura Lt BT" w:hAnsi="Futura Lt BT" w:cs="Futura Lt BT"/>
          <w:lang w:val="es-CR"/>
        </w:rPr>
        <w:t xml:space="preserve">; </w:t>
      </w:r>
      <w:r w:rsidR="008E35EA">
        <w:rPr>
          <w:rFonts w:ascii="Futura Lt BT" w:eastAsia="Futura Lt BT" w:hAnsi="Futura Lt BT" w:cs="Futura Lt BT"/>
          <w:lang w:val="es-CR"/>
        </w:rPr>
        <w:t xml:space="preserve">siendo que </w:t>
      </w:r>
      <w:r w:rsidR="00593207" w:rsidRPr="008E35EA">
        <w:rPr>
          <w:rFonts w:ascii="Futura Lt BT" w:eastAsia="Futura Lt BT" w:hAnsi="Futura Lt BT" w:cs="Futura Lt BT"/>
          <w:lang w:val="es-CR"/>
        </w:rPr>
        <w:t xml:space="preserve">las remesas constituyen alrededor del 22% del PIB. </w:t>
      </w:r>
      <w:r w:rsidR="008C5837" w:rsidRPr="008E35EA">
        <w:rPr>
          <w:rFonts w:ascii="Futura Lt BT" w:eastAsia="Futura Lt BT" w:hAnsi="Futura Lt BT" w:cs="Futura Lt BT"/>
          <w:lang w:val="es-CR"/>
        </w:rPr>
        <w:t xml:space="preserve">En cuanto a las exportaciones, </w:t>
      </w:r>
      <w:r w:rsidR="008E35EA">
        <w:rPr>
          <w:rFonts w:ascii="Futura Lt BT" w:eastAsia="Futura Lt BT" w:hAnsi="Futura Lt BT" w:cs="Futura Lt BT"/>
          <w:lang w:val="es-CR"/>
        </w:rPr>
        <w:t xml:space="preserve">señaló que </w:t>
      </w:r>
      <w:r w:rsidR="008C5837" w:rsidRPr="008E35EA">
        <w:rPr>
          <w:rFonts w:ascii="Futura Lt BT" w:eastAsia="Futura Lt BT" w:hAnsi="Futura Lt BT" w:cs="Futura Lt BT"/>
          <w:lang w:val="es-CR"/>
        </w:rPr>
        <w:t xml:space="preserve">por </w:t>
      </w:r>
      <w:r w:rsidR="00593207" w:rsidRPr="008E35EA">
        <w:rPr>
          <w:rFonts w:ascii="Futura Lt BT" w:eastAsia="Futura Lt BT" w:hAnsi="Futura Lt BT" w:cs="Futura Lt BT"/>
          <w:lang w:val="es-CR"/>
        </w:rPr>
        <w:t xml:space="preserve">séptimo mes consecutivo </w:t>
      </w:r>
      <w:r w:rsidR="008E35EA">
        <w:rPr>
          <w:rFonts w:ascii="Futura Lt BT" w:eastAsia="Futura Lt BT" w:hAnsi="Futura Lt BT" w:cs="Futura Lt BT"/>
          <w:lang w:val="es-CR"/>
        </w:rPr>
        <w:t xml:space="preserve">estas </w:t>
      </w:r>
      <w:r w:rsidR="00593207" w:rsidRPr="008E35EA">
        <w:rPr>
          <w:rFonts w:ascii="Futura Lt BT" w:eastAsia="Futura Lt BT" w:hAnsi="Futura Lt BT" w:cs="Futura Lt BT"/>
          <w:lang w:val="es-CR"/>
        </w:rPr>
        <w:t>registran un valor superior a USD400 millones; en enero fue</w:t>
      </w:r>
      <w:r w:rsidR="008E35EA">
        <w:rPr>
          <w:rFonts w:ascii="Futura Lt BT" w:eastAsia="Futura Lt BT" w:hAnsi="Futura Lt BT" w:cs="Futura Lt BT"/>
          <w:lang w:val="es-CR"/>
        </w:rPr>
        <w:t>ron</w:t>
      </w:r>
      <w:r w:rsidR="00593207" w:rsidRPr="008E35EA">
        <w:rPr>
          <w:rFonts w:ascii="Futura Lt BT" w:eastAsia="Futura Lt BT" w:hAnsi="Futura Lt BT" w:cs="Futura Lt BT"/>
          <w:lang w:val="es-CR"/>
        </w:rPr>
        <w:t xml:space="preserve"> de USD499 millones. La demanda de producto</w:t>
      </w:r>
      <w:r w:rsidR="008E35EA">
        <w:rPr>
          <w:rFonts w:ascii="Futura Lt BT" w:eastAsia="Futura Lt BT" w:hAnsi="Futura Lt BT" w:cs="Futura Lt BT"/>
          <w:lang w:val="es-CR"/>
        </w:rPr>
        <w:t>s</w:t>
      </w:r>
      <w:r w:rsidR="00593207" w:rsidRPr="008E35EA">
        <w:rPr>
          <w:rFonts w:ascii="Futura Lt BT" w:eastAsia="Futura Lt BT" w:hAnsi="Futura Lt BT" w:cs="Futura Lt BT"/>
          <w:lang w:val="es-CR"/>
        </w:rPr>
        <w:t xml:space="preserve"> desde EE.UU. creció 3.9%</w:t>
      </w:r>
      <w:r w:rsidR="008E35EA">
        <w:rPr>
          <w:rFonts w:ascii="Futura Lt BT" w:eastAsia="Futura Lt BT" w:hAnsi="Futura Lt BT" w:cs="Futura Lt BT"/>
          <w:lang w:val="es-CR"/>
        </w:rPr>
        <w:t xml:space="preserve">; </w:t>
      </w:r>
      <w:r w:rsidR="00593207" w:rsidRPr="008E35EA">
        <w:rPr>
          <w:rFonts w:ascii="Futura Lt BT" w:eastAsia="Futura Lt BT" w:hAnsi="Futura Lt BT" w:cs="Futura Lt BT"/>
          <w:lang w:val="es-CR"/>
        </w:rPr>
        <w:t>y desde Centroamérica</w:t>
      </w:r>
      <w:r w:rsidR="008E35EA">
        <w:rPr>
          <w:rFonts w:ascii="Futura Lt BT" w:eastAsia="Futura Lt BT" w:hAnsi="Futura Lt BT" w:cs="Futura Lt BT"/>
          <w:lang w:val="es-CR"/>
        </w:rPr>
        <w:t>,</w:t>
      </w:r>
      <w:r w:rsidR="00593207" w:rsidRPr="008E35EA">
        <w:rPr>
          <w:rFonts w:ascii="Futura Lt BT" w:eastAsia="Futura Lt BT" w:hAnsi="Futura Lt BT" w:cs="Futura Lt BT"/>
          <w:lang w:val="es-CR"/>
        </w:rPr>
        <w:t xml:space="preserve"> 0.7%. En cuanto a </w:t>
      </w:r>
      <w:r w:rsidR="008E35EA">
        <w:rPr>
          <w:rFonts w:ascii="Futura Lt BT" w:eastAsia="Futura Lt BT" w:hAnsi="Futura Lt BT" w:cs="Futura Lt BT"/>
          <w:lang w:val="es-CR"/>
        </w:rPr>
        <w:t xml:space="preserve">las </w:t>
      </w:r>
      <w:r w:rsidR="00593207" w:rsidRPr="008E35EA">
        <w:rPr>
          <w:rFonts w:ascii="Futura Lt BT" w:eastAsia="Futura Lt BT" w:hAnsi="Futura Lt BT" w:cs="Futura Lt BT"/>
          <w:lang w:val="es-CR"/>
        </w:rPr>
        <w:t xml:space="preserve">importaciones, su valor ascendió a USD1,089 millones, el monto más alto observado desde que inició la pandemia; principalmente de maquinaria y equipo eléctrico, lo que contribuye a la transformación de la matriz energética del país. En cuanto al sistema financiero, </w:t>
      </w:r>
      <w:r w:rsidR="008E35EA">
        <w:rPr>
          <w:rFonts w:ascii="Futura Lt BT" w:eastAsia="Futura Lt BT" w:hAnsi="Futura Lt BT" w:cs="Futura Lt BT"/>
          <w:lang w:val="es-CR"/>
        </w:rPr>
        <w:t xml:space="preserve">comentó que </w:t>
      </w:r>
      <w:r w:rsidR="00593207" w:rsidRPr="008E35EA">
        <w:rPr>
          <w:rFonts w:ascii="Futura Lt BT" w:eastAsia="Futura Lt BT" w:hAnsi="Futura Lt BT" w:cs="Futura Lt BT"/>
          <w:lang w:val="es-CR"/>
        </w:rPr>
        <w:t xml:space="preserve">este se mantiene con suficiente liquidez, pues los depósitos totalizaron más de USD16,000 millones, con un incremento de 11.9% a enero de este año. En cuanto al crédito, el saldo a enero fue de USD17,544.1 millones, incrementando un 1.9%; </w:t>
      </w:r>
      <w:r w:rsidR="008E35EA">
        <w:rPr>
          <w:rFonts w:ascii="Futura Lt BT" w:eastAsia="Futura Lt BT" w:hAnsi="Futura Lt BT" w:cs="Futura Lt BT"/>
          <w:lang w:val="es-CR"/>
        </w:rPr>
        <w:t xml:space="preserve">observando </w:t>
      </w:r>
      <w:r w:rsidR="00593207" w:rsidRPr="008E35EA">
        <w:rPr>
          <w:rFonts w:ascii="Futura Lt BT" w:eastAsia="Futura Lt BT" w:hAnsi="Futura Lt BT" w:cs="Futura Lt BT"/>
          <w:lang w:val="es-CR"/>
        </w:rPr>
        <w:t xml:space="preserve">el mayor dinamismo </w:t>
      </w:r>
      <w:r w:rsidR="008E35EA">
        <w:rPr>
          <w:rFonts w:ascii="Futura Lt BT" w:eastAsia="Futura Lt BT" w:hAnsi="Futura Lt BT" w:cs="Futura Lt BT"/>
          <w:lang w:val="es-CR"/>
        </w:rPr>
        <w:t xml:space="preserve">en </w:t>
      </w:r>
      <w:r w:rsidR="00593207" w:rsidRPr="008E35EA">
        <w:rPr>
          <w:rFonts w:ascii="Futura Lt BT" w:eastAsia="Futura Lt BT" w:hAnsi="Futura Lt BT" w:cs="Futura Lt BT"/>
          <w:lang w:val="es-CR"/>
        </w:rPr>
        <w:t xml:space="preserve">el crédito a empresas. En cuanto a proyecciones económicas para 2021, </w:t>
      </w:r>
      <w:r w:rsidR="005D31EB" w:rsidRPr="005D31EB">
        <w:rPr>
          <w:rFonts w:ascii="Futura Lt BT" w:eastAsia="Futura Lt BT" w:hAnsi="Futura Lt BT" w:cs="Futura Lt BT"/>
          <w:lang w:val="es-CR"/>
        </w:rPr>
        <w:t>el BCRES a la fecha tiene, de manera preliminar, la estimación de 3.9% de crecimiento del PIB, pero se están actualizando algunos datos, tanto internos como externos, con los que próximamente se estará revisando esa estimación</w:t>
      </w:r>
      <w:r w:rsidR="001C1899" w:rsidRPr="008E35EA">
        <w:rPr>
          <w:rFonts w:ascii="Futura Lt BT" w:eastAsia="Futura Lt BT" w:hAnsi="Futura Lt BT" w:cs="Futura Lt BT"/>
          <w:lang w:val="es-CR"/>
        </w:rPr>
        <w:t>. A</w:t>
      </w:r>
      <w:r w:rsidR="008E35EA">
        <w:rPr>
          <w:rFonts w:ascii="Futura Lt BT" w:eastAsia="Futura Lt BT" w:hAnsi="Futura Lt BT" w:cs="Futura Lt BT"/>
          <w:lang w:val="es-CR"/>
        </w:rPr>
        <w:t xml:space="preserve"> </w:t>
      </w:r>
      <w:r w:rsidR="001C1899" w:rsidRPr="008E35EA">
        <w:rPr>
          <w:rFonts w:ascii="Futura Lt BT" w:eastAsia="Futura Lt BT" w:hAnsi="Futura Lt BT" w:cs="Futura Lt BT"/>
          <w:lang w:val="es-CR"/>
        </w:rPr>
        <w:t>l</w:t>
      </w:r>
      <w:r w:rsidR="008E35EA">
        <w:rPr>
          <w:rFonts w:ascii="Futura Lt BT" w:eastAsia="Futura Lt BT" w:hAnsi="Futura Lt BT" w:cs="Futura Lt BT"/>
          <w:lang w:val="es-CR"/>
        </w:rPr>
        <w:t>o</w:t>
      </w:r>
      <w:r w:rsidR="001C1899" w:rsidRPr="008E35EA">
        <w:rPr>
          <w:rFonts w:ascii="Futura Lt BT" w:eastAsia="Futura Lt BT" w:hAnsi="Futura Lt BT" w:cs="Futura Lt BT"/>
          <w:lang w:val="es-CR"/>
        </w:rPr>
        <w:t xml:space="preserve"> inter</w:t>
      </w:r>
      <w:r w:rsidR="008E35EA">
        <w:rPr>
          <w:rFonts w:ascii="Futura Lt BT" w:eastAsia="Futura Lt BT" w:hAnsi="Futura Lt BT" w:cs="Futura Lt BT"/>
          <w:lang w:val="es-CR"/>
        </w:rPr>
        <w:t>n</w:t>
      </w:r>
      <w:r w:rsidR="001C1899" w:rsidRPr="008E35EA">
        <w:rPr>
          <w:rFonts w:ascii="Futura Lt BT" w:eastAsia="Futura Lt BT" w:hAnsi="Futura Lt BT" w:cs="Futura Lt BT"/>
          <w:lang w:val="es-CR"/>
        </w:rPr>
        <w:t>o, los niveles inflacionarios continúan siendo bajos y estables; existe un contexto político favorable luego de las últimas elecciones</w:t>
      </w:r>
      <w:r w:rsidR="00C01EFA">
        <w:rPr>
          <w:rFonts w:ascii="Futura Lt BT" w:eastAsia="Futura Lt BT" w:hAnsi="Futura Lt BT" w:cs="Futura Lt BT"/>
          <w:lang w:val="es-CR"/>
        </w:rPr>
        <w:t xml:space="preserve"> parlamentarias</w:t>
      </w:r>
      <w:r w:rsidR="001C1899" w:rsidRPr="008E35EA">
        <w:rPr>
          <w:rFonts w:ascii="Futura Lt BT" w:eastAsia="Futura Lt BT" w:hAnsi="Futura Lt BT" w:cs="Futura Lt BT"/>
          <w:lang w:val="es-CR"/>
        </w:rPr>
        <w:t>, que permitirá implementar diversas estrategias y políticas que contribuirán al desempeño económico, y la ejecución de proyectos de inversión pública, cooperación internacional e inversión privada; por el ámbito externo</w:t>
      </w:r>
      <w:r w:rsidR="008E35EA">
        <w:rPr>
          <w:rFonts w:ascii="Futura Lt BT" w:eastAsia="Futura Lt BT" w:hAnsi="Futura Lt BT" w:cs="Futura Lt BT"/>
          <w:lang w:val="es-CR"/>
        </w:rPr>
        <w:t>,</w:t>
      </w:r>
      <w:r w:rsidR="001C1899" w:rsidRPr="008E35EA">
        <w:rPr>
          <w:rFonts w:ascii="Futura Lt BT" w:eastAsia="Futura Lt BT" w:hAnsi="Futura Lt BT" w:cs="Futura Lt BT"/>
          <w:lang w:val="es-CR"/>
        </w:rPr>
        <w:t xml:space="preserve"> también hay condiciones positivas, principalmente por la recuperación económica de EE.UU., principal socio comercial. </w:t>
      </w:r>
    </w:p>
    <w:p w14:paraId="1C0C6455" w14:textId="432AE79A" w:rsidR="00F62AAE" w:rsidRPr="000B6AEE" w:rsidRDefault="00A76E2E" w:rsidP="00EF49B6">
      <w:pPr>
        <w:pStyle w:val="Body"/>
        <w:spacing w:before="120" w:after="240" w:line="240" w:lineRule="auto"/>
        <w:ind w:firstLine="709"/>
        <w:jc w:val="both"/>
        <w:rPr>
          <w:rFonts w:ascii="Futura Lt BT" w:eastAsia="Futura Lt BT" w:hAnsi="Futura Lt BT" w:cs="Futura Lt BT"/>
          <w:lang w:val="es-CR"/>
        </w:rPr>
      </w:pPr>
      <w:r w:rsidRPr="000B6AEE">
        <w:rPr>
          <w:rFonts w:ascii="Futura Lt BT" w:eastAsia="Futura Lt BT" w:hAnsi="Futura Lt BT" w:cs="Futura Lt BT"/>
          <w:lang w:val="es-CR"/>
        </w:rPr>
        <w:t>Informó además que e</w:t>
      </w:r>
      <w:r w:rsidR="001C1899" w:rsidRPr="000B6AEE">
        <w:rPr>
          <w:rFonts w:ascii="Futura Lt BT" w:eastAsia="Futura Lt BT" w:hAnsi="Futura Lt BT" w:cs="Futura Lt BT"/>
          <w:lang w:val="es-CR"/>
        </w:rPr>
        <w:t xml:space="preserve">l </w:t>
      </w:r>
      <w:r w:rsidR="000B6AEE">
        <w:rPr>
          <w:rFonts w:ascii="Futura Lt BT" w:eastAsia="Futura Lt BT" w:hAnsi="Futura Lt BT" w:cs="Futura Lt BT"/>
          <w:lang w:val="es-CR"/>
        </w:rPr>
        <w:t>G</w:t>
      </w:r>
      <w:r w:rsidR="001C1899" w:rsidRPr="000B6AEE">
        <w:rPr>
          <w:rFonts w:ascii="Futura Lt BT" w:eastAsia="Futura Lt BT" w:hAnsi="Futura Lt BT" w:cs="Futura Lt BT"/>
          <w:lang w:val="es-CR"/>
        </w:rPr>
        <w:t xml:space="preserve">obierno </w:t>
      </w:r>
      <w:r w:rsidRPr="000B6AEE">
        <w:rPr>
          <w:rFonts w:ascii="Futura Lt BT" w:eastAsia="Futura Lt BT" w:hAnsi="Futura Lt BT" w:cs="Futura Lt BT"/>
          <w:lang w:val="es-CR"/>
        </w:rPr>
        <w:t xml:space="preserve">de El Salvador </w:t>
      </w:r>
      <w:r w:rsidR="001C1899" w:rsidRPr="000B6AEE">
        <w:rPr>
          <w:rFonts w:ascii="Futura Lt BT" w:eastAsia="Futura Lt BT" w:hAnsi="Futura Lt BT" w:cs="Futura Lt BT"/>
          <w:lang w:val="es-CR"/>
        </w:rPr>
        <w:t>se encuentra implementando una serie de políticas, estrategias y medidas</w:t>
      </w:r>
      <w:r w:rsidRPr="000B6AEE">
        <w:rPr>
          <w:rFonts w:ascii="Futura Lt BT" w:eastAsia="Futura Lt BT" w:hAnsi="Futura Lt BT" w:cs="Futura Lt BT"/>
          <w:lang w:val="es-CR"/>
        </w:rPr>
        <w:t>, destacando</w:t>
      </w:r>
      <w:r w:rsidR="000B6AEE">
        <w:rPr>
          <w:rFonts w:ascii="Futura Lt BT" w:eastAsia="Futura Lt BT" w:hAnsi="Futura Lt BT" w:cs="Futura Lt BT"/>
          <w:lang w:val="es-CR"/>
        </w:rPr>
        <w:t>,</w:t>
      </w:r>
      <w:r w:rsidRPr="000B6AEE">
        <w:rPr>
          <w:rFonts w:ascii="Futura Lt BT" w:eastAsia="Futura Lt BT" w:hAnsi="Futura Lt BT" w:cs="Futura Lt BT"/>
          <w:lang w:val="es-CR"/>
        </w:rPr>
        <w:t xml:space="preserve"> entre otras</w:t>
      </w:r>
      <w:r w:rsidR="000B6AEE">
        <w:rPr>
          <w:rFonts w:ascii="Futura Lt BT" w:eastAsia="Futura Lt BT" w:hAnsi="Futura Lt BT" w:cs="Futura Lt BT"/>
          <w:lang w:val="es-CR"/>
        </w:rPr>
        <w:t>,</w:t>
      </w:r>
      <w:r w:rsidRPr="000B6AEE">
        <w:rPr>
          <w:rFonts w:ascii="Futura Lt BT" w:eastAsia="Futura Lt BT" w:hAnsi="Futura Lt BT" w:cs="Futura Lt BT"/>
          <w:lang w:val="es-CR"/>
        </w:rPr>
        <w:t xml:space="preserve"> la</w:t>
      </w:r>
      <w:r w:rsidR="001C1899" w:rsidRPr="000B6AEE">
        <w:rPr>
          <w:rFonts w:ascii="Futura Lt BT" w:eastAsia="Futura Lt BT" w:hAnsi="Futura Lt BT" w:cs="Futura Lt BT"/>
          <w:lang w:val="es-CR"/>
        </w:rPr>
        <w:t xml:space="preserve"> </w:t>
      </w:r>
      <w:r w:rsidRPr="000B6AEE">
        <w:rPr>
          <w:rFonts w:ascii="Futura Lt BT" w:eastAsia="Futura Lt BT" w:hAnsi="Futura Lt BT" w:cs="Futura Lt BT"/>
          <w:lang w:val="es-CR"/>
        </w:rPr>
        <w:t xml:space="preserve">ventanilla para agilización de trámites en permisos de construcción, el Comité Nacional de Facilitación del Comercio, la </w:t>
      </w:r>
      <w:r w:rsidR="000B6AEE">
        <w:rPr>
          <w:rFonts w:ascii="Futura Lt BT" w:eastAsia="Futura Lt BT" w:hAnsi="Futura Lt BT" w:cs="Futura Lt BT"/>
          <w:lang w:val="es-CR"/>
        </w:rPr>
        <w:t>e</w:t>
      </w:r>
      <w:r w:rsidRPr="000B6AEE">
        <w:rPr>
          <w:rFonts w:ascii="Futura Lt BT" w:eastAsia="Futura Lt BT" w:hAnsi="Futura Lt BT" w:cs="Futura Lt BT"/>
          <w:lang w:val="es-CR"/>
        </w:rPr>
        <w:t>strategia de promoción de inversiones de El Salvador, el aprovechamiento de los acuerdos comerciales vigentes, la Política de comercio e inversiones de El Salvador, el Plan maestro de rescate agropecuario</w:t>
      </w:r>
      <w:r w:rsidR="00F62AAE" w:rsidRPr="000B6AEE">
        <w:rPr>
          <w:rFonts w:ascii="Futura Lt BT" w:eastAsia="Futura Lt BT" w:hAnsi="Futura Lt BT" w:cs="Futura Lt BT"/>
          <w:lang w:val="es-CR"/>
        </w:rPr>
        <w:t xml:space="preserve">, </w:t>
      </w:r>
      <w:r w:rsidRPr="000B6AEE">
        <w:rPr>
          <w:rFonts w:ascii="Futura Lt BT" w:eastAsia="Futura Lt BT" w:hAnsi="Futura Lt BT" w:cs="Futura Lt BT"/>
          <w:lang w:val="es-CR"/>
        </w:rPr>
        <w:t>el Plan de transformación y despegue sostenible del café</w:t>
      </w:r>
      <w:r w:rsidR="00F62AAE" w:rsidRPr="000B6AEE">
        <w:rPr>
          <w:rFonts w:ascii="Futura Lt BT" w:eastAsia="Futura Lt BT" w:hAnsi="Futura Lt BT" w:cs="Futura Lt BT"/>
          <w:lang w:val="es-CR"/>
        </w:rPr>
        <w:t xml:space="preserve">, </w:t>
      </w:r>
      <w:r w:rsidR="000B6AEE">
        <w:rPr>
          <w:rFonts w:ascii="Futura Lt BT" w:eastAsia="Futura Lt BT" w:hAnsi="Futura Lt BT" w:cs="Futura Lt BT"/>
          <w:lang w:val="es-CR"/>
        </w:rPr>
        <w:t xml:space="preserve">y </w:t>
      </w:r>
      <w:r w:rsidR="00F62AAE" w:rsidRPr="000B6AEE">
        <w:rPr>
          <w:rFonts w:ascii="Futura Lt BT" w:eastAsia="Futura Lt BT" w:hAnsi="Futura Lt BT" w:cs="Futura Lt BT"/>
          <w:lang w:val="es-CR"/>
        </w:rPr>
        <w:t>el programa Fortalecimiento de las tecnologías educativas. Por su parte</w:t>
      </w:r>
      <w:r w:rsidR="000B6AEE">
        <w:rPr>
          <w:rFonts w:ascii="Futura Lt BT" w:eastAsia="Futura Lt BT" w:hAnsi="Futura Lt BT" w:cs="Futura Lt BT"/>
          <w:lang w:val="es-CR"/>
        </w:rPr>
        <w:t>,</w:t>
      </w:r>
      <w:r w:rsidR="00F62AAE" w:rsidRPr="000B6AEE">
        <w:rPr>
          <w:rFonts w:ascii="Futura Lt BT" w:eastAsia="Futura Lt BT" w:hAnsi="Futura Lt BT" w:cs="Futura Lt BT"/>
          <w:lang w:val="es-CR"/>
        </w:rPr>
        <w:t xml:space="preserve"> el BCRES ha implementado medidas para apoyar el proceso de recuperación económica, entre las cuales destacan la normativa de gradualidad en la constitución de reservas de saneamiento de créditos afectados por COVID-19</w:t>
      </w:r>
      <w:r w:rsidR="007513EF" w:rsidRPr="000B6AEE">
        <w:rPr>
          <w:rFonts w:ascii="Futura Lt BT" w:eastAsia="Futura Lt BT" w:hAnsi="Futura Lt BT" w:cs="Futura Lt BT"/>
          <w:lang w:val="es-CR"/>
        </w:rPr>
        <w:t xml:space="preserve"> y</w:t>
      </w:r>
      <w:r w:rsidR="00F62AAE" w:rsidRPr="000B6AEE">
        <w:rPr>
          <w:rFonts w:ascii="Futura Lt BT" w:eastAsia="Futura Lt BT" w:hAnsi="Futura Lt BT" w:cs="Futura Lt BT"/>
          <w:lang w:val="es-CR"/>
        </w:rPr>
        <w:t xml:space="preserve"> </w:t>
      </w:r>
      <w:r w:rsidR="007513EF" w:rsidRPr="000B6AEE">
        <w:rPr>
          <w:rFonts w:ascii="Futura Lt BT" w:eastAsia="Futura Lt BT" w:hAnsi="Futura Lt BT" w:cs="Futura Lt BT"/>
          <w:lang w:val="es-CR"/>
        </w:rPr>
        <w:t xml:space="preserve">la normativa de requerimientos de liquidez de las instituciones financieras; </w:t>
      </w:r>
      <w:r w:rsidR="00F62AAE" w:rsidRPr="000B6AEE">
        <w:rPr>
          <w:rFonts w:ascii="Futura Lt BT" w:eastAsia="Futura Lt BT" w:hAnsi="Futura Lt BT" w:cs="Futura Lt BT"/>
          <w:lang w:val="es-CR"/>
        </w:rPr>
        <w:t>la transformación digital de los procesos de la ventanilla única de comercio exterior, la modernización del proc</w:t>
      </w:r>
      <w:r w:rsidR="002707C2" w:rsidRPr="000B6AEE">
        <w:rPr>
          <w:rFonts w:ascii="Futura Lt BT" w:eastAsia="Futura Lt BT" w:hAnsi="Futura Lt BT" w:cs="Futura Lt BT"/>
          <w:lang w:val="es-CR"/>
        </w:rPr>
        <w:t>e</w:t>
      </w:r>
      <w:r w:rsidR="00F62AAE" w:rsidRPr="000B6AEE">
        <w:rPr>
          <w:rFonts w:ascii="Futura Lt BT" w:eastAsia="Futura Lt BT" w:hAnsi="Futura Lt BT" w:cs="Futura Lt BT"/>
          <w:lang w:val="es-CR"/>
        </w:rPr>
        <w:t>so de compensación de cheques</w:t>
      </w:r>
      <w:r w:rsidR="007513EF" w:rsidRPr="000B6AEE">
        <w:rPr>
          <w:rFonts w:ascii="Futura Lt BT" w:eastAsia="Futura Lt BT" w:hAnsi="Futura Lt BT" w:cs="Futura Lt BT"/>
          <w:lang w:val="es-CR"/>
        </w:rPr>
        <w:t xml:space="preserve"> y </w:t>
      </w:r>
      <w:r w:rsidR="00F62AAE" w:rsidRPr="000B6AEE">
        <w:rPr>
          <w:rFonts w:ascii="Futura Lt BT" w:eastAsia="Futura Lt BT" w:hAnsi="Futura Lt BT" w:cs="Futura Lt BT"/>
          <w:lang w:val="es-CR"/>
        </w:rPr>
        <w:t>de los sistemas de información del Centro de Trámites de I</w:t>
      </w:r>
      <w:r w:rsidR="002707C2" w:rsidRPr="000B6AEE">
        <w:rPr>
          <w:rFonts w:ascii="Futura Lt BT" w:eastAsia="Futura Lt BT" w:hAnsi="Futura Lt BT" w:cs="Futura Lt BT"/>
          <w:lang w:val="es-CR"/>
        </w:rPr>
        <w:t>m</w:t>
      </w:r>
      <w:r w:rsidR="00F62AAE" w:rsidRPr="000B6AEE">
        <w:rPr>
          <w:rFonts w:ascii="Futura Lt BT" w:eastAsia="Futura Lt BT" w:hAnsi="Futura Lt BT" w:cs="Futura Lt BT"/>
          <w:lang w:val="es-CR"/>
        </w:rPr>
        <w:t>portaciones y E</w:t>
      </w:r>
      <w:r w:rsidR="002707C2" w:rsidRPr="000B6AEE">
        <w:rPr>
          <w:rFonts w:ascii="Futura Lt BT" w:eastAsia="Futura Lt BT" w:hAnsi="Futura Lt BT" w:cs="Futura Lt BT"/>
          <w:lang w:val="es-CR"/>
        </w:rPr>
        <w:t>x</w:t>
      </w:r>
      <w:r w:rsidR="00F62AAE" w:rsidRPr="000B6AEE">
        <w:rPr>
          <w:rFonts w:ascii="Futura Lt BT" w:eastAsia="Futura Lt BT" w:hAnsi="Futura Lt BT" w:cs="Futura Lt BT"/>
          <w:lang w:val="es-CR"/>
        </w:rPr>
        <w:t>portaciones y del sis</w:t>
      </w:r>
      <w:r w:rsidR="002707C2" w:rsidRPr="000B6AEE">
        <w:rPr>
          <w:rFonts w:ascii="Futura Lt BT" w:eastAsia="Futura Lt BT" w:hAnsi="Futura Lt BT" w:cs="Futura Lt BT"/>
          <w:lang w:val="es-CR"/>
        </w:rPr>
        <w:t xml:space="preserve">tema </w:t>
      </w:r>
      <w:r w:rsidR="00F62AAE" w:rsidRPr="000B6AEE">
        <w:rPr>
          <w:rFonts w:ascii="Futura Lt BT" w:eastAsia="Futura Lt BT" w:hAnsi="Futura Lt BT" w:cs="Futura Lt BT"/>
          <w:lang w:val="es-CR"/>
        </w:rPr>
        <w:t xml:space="preserve">de </w:t>
      </w:r>
      <w:r w:rsidR="002707C2" w:rsidRPr="000B6AEE">
        <w:rPr>
          <w:rFonts w:ascii="Futura Lt BT" w:eastAsia="Futura Lt BT" w:hAnsi="Futura Lt BT" w:cs="Futura Lt BT"/>
          <w:lang w:val="es-CR"/>
        </w:rPr>
        <w:t>p</w:t>
      </w:r>
      <w:r w:rsidR="00F62AAE" w:rsidRPr="000B6AEE">
        <w:rPr>
          <w:rFonts w:ascii="Futura Lt BT" w:eastAsia="Futura Lt BT" w:hAnsi="Futura Lt BT" w:cs="Futura Lt BT"/>
          <w:lang w:val="es-CR"/>
        </w:rPr>
        <w:t xml:space="preserve">agos masivos, que se traduce en reducción </w:t>
      </w:r>
      <w:r w:rsidR="002707C2" w:rsidRPr="000B6AEE">
        <w:rPr>
          <w:rFonts w:ascii="Futura Lt BT" w:eastAsia="Futura Lt BT" w:hAnsi="Futura Lt BT" w:cs="Futura Lt BT"/>
          <w:lang w:val="es-CR"/>
        </w:rPr>
        <w:t xml:space="preserve">de tiempo </w:t>
      </w:r>
      <w:r w:rsidR="007513EF" w:rsidRPr="000B6AEE">
        <w:rPr>
          <w:rFonts w:ascii="Futura Lt BT" w:eastAsia="Futura Lt BT" w:hAnsi="Futura Lt BT" w:cs="Futura Lt BT"/>
          <w:lang w:val="es-CR"/>
        </w:rPr>
        <w:t xml:space="preserve">en el </w:t>
      </w:r>
      <w:r w:rsidR="002707C2" w:rsidRPr="000B6AEE">
        <w:rPr>
          <w:rFonts w:ascii="Futura Lt BT" w:eastAsia="Futura Lt BT" w:hAnsi="Futura Lt BT" w:cs="Futura Lt BT"/>
          <w:lang w:val="es-CR"/>
        </w:rPr>
        <w:t>intercambio de dinero.</w:t>
      </w:r>
      <w:r w:rsidR="007513EF" w:rsidRPr="000B6AEE">
        <w:rPr>
          <w:rFonts w:ascii="Futura Lt BT" w:eastAsia="Futura Lt BT" w:hAnsi="Futura Lt BT" w:cs="Futura Lt BT"/>
          <w:lang w:val="es-CR"/>
        </w:rPr>
        <w:t xml:space="preserve"> </w:t>
      </w:r>
      <w:r w:rsidR="000B6AEE">
        <w:rPr>
          <w:rFonts w:ascii="Futura Lt BT" w:eastAsia="Futura Lt BT" w:hAnsi="Futura Lt BT" w:cs="Futura Lt BT"/>
          <w:lang w:val="es-CR"/>
        </w:rPr>
        <w:t>Manifestó que l</w:t>
      </w:r>
      <w:r w:rsidR="007513EF" w:rsidRPr="000B6AEE">
        <w:rPr>
          <w:rFonts w:ascii="Futura Lt BT" w:eastAsia="Futura Lt BT" w:hAnsi="Futura Lt BT" w:cs="Futura Lt BT"/>
          <w:lang w:val="es-CR"/>
        </w:rPr>
        <w:t>a inversión pública y cooperación internacional apoyarán el proceso de recuperación económica</w:t>
      </w:r>
      <w:r w:rsidR="000B6AEE">
        <w:rPr>
          <w:rFonts w:ascii="Futura Lt BT" w:eastAsia="Futura Lt BT" w:hAnsi="Futura Lt BT" w:cs="Futura Lt BT"/>
          <w:lang w:val="es-CR"/>
        </w:rPr>
        <w:t>, que e</w:t>
      </w:r>
      <w:r w:rsidR="007513EF" w:rsidRPr="000B6AEE">
        <w:rPr>
          <w:rFonts w:ascii="Futura Lt BT" w:eastAsia="Futura Lt BT" w:hAnsi="Futura Lt BT" w:cs="Futura Lt BT"/>
          <w:lang w:val="es-CR"/>
        </w:rPr>
        <w:t>l Gobierno también lanzó un fideicomiso de apoyo a las pequeñas y medianas empresas, por USD600 millones</w:t>
      </w:r>
      <w:r w:rsidR="000B6AEE">
        <w:rPr>
          <w:rFonts w:ascii="Futura Lt BT" w:eastAsia="Futura Lt BT" w:hAnsi="Futura Lt BT" w:cs="Futura Lt BT"/>
          <w:lang w:val="es-CR"/>
        </w:rPr>
        <w:t>, y que l</w:t>
      </w:r>
      <w:r w:rsidR="007513EF" w:rsidRPr="000B6AEE">
        <w:rPr>
          <w:rFonts w:ascii="Futura Lt BT" w:eastAsia="Futura Lt BT" w:hAnsi="Futura Lt BT" w:cs="Futura Lt BT"/>
          <w:lang w:val="es-CR"/>
        </w:rPr>
        <w:t xml:space="preserve">a inversión privada será también un pilar importante para este año, así como las inversiones para la generación de energía mediante fuentes renovables. </w:t>
      </w:r>
      <w:r w:rsidR="003922B4">
        <w:rPr>
          <w:rFonts w:ascii="Futura Lt BT" w:eastAsia="Futura Lt BT" w:hAnsi="Futura Lt BT" w:cs="Futura Lt BT"/>
          <w:lang w:val="es-CR"/>
        </w:rPr>
        <w:t>Finalizó indicando que e</w:t>
      </w:r>
      <w:r w:rsidR="007513EF" w:rsidRPr="000B6AEE">
        <w:rPr>
          <w:rFonts w:ascii="Futura Lt BT" w:eastAsia="Futura Lt BT" w:hAnsi="Futura Lt BT" w:cs="Futura Lt BT"/>
          <w:lang w:val="es-CR"/>
        </w:rPr>
        <w:t>l entorno internacional también se vislumbra favorable, siendo las exportaciones y las remesas familiares los principales canales de transmisión</w:t>
      </w:r>
      <w:r w:rsidR="003922B4">
        <w:rPr>
          <w:rFonts w:ascii="Futura Lt BT" w:eastAsia="Futura Lt BT" w:hAnsi="Futura Lt BT" w:cs="Futura Lt BT"/>
          <w:lang w:val="es-CR"/>
        </w:rPr>
        <w:t>; y que s</w:t>
      </w:r>
      <w:r w:rsidR="00775308" w:rsidRPr="000B6AEE">
        <w:rPr>
          <w:rFonts w:ascii="Futura Lt BT" w:eastAsia="Futura Lt BT" w:hAnsi="Futura Lt BT" w:cs="Futura Lt BT"/>
          <w:lang w:val="es-CR"/>
        </w:rPr>
        <w:t xml:space="preserve">e espera que los sectores que lideren la recuperación económica en 2021 sean la construcción, electricidad, industria, comercio e información y comunicaciones. </w:t>
      </w:r>
      <w:r w:rsidR="007513EF" w:rsidRPr="000B6AEE">
        <w:rPr>
          <w:rFonts w:ascii="Futura Lt BT" w:eastAsia="Futura Lt BT" w:hAnsi="Futura Lt BT" w:cs="Futura Lt BT"/>
          <w:lang w:val="es-CR"/>
        </w:rPr>
        <w:t xml:space="preserve">  </w:t>
      </w:r>
    </w:p>
    <w:p w14:paraId="6E948402" w14:textId="624DB531" w:rsidR="00EF49B6" w:rsidRPr="009F2D09" w:rsidRDefault="00EF49B6" w:rsidP="00EF49B6">
      <w:pPr>
        <w:pStyle w:val="Body"/>
        <w:spacing w:before="120" w:after="240" w:line="240" w:lineRule="auto"/>
        <w:ind w:firstLine="709"/>
        <w:jc w:val="both"/>
        <w:rPr>
          <w:rFonts w:ascii="Futura Lt BT" w:eastAsia="Futura Lt BT" w:hAnsi="Futura Lt BT" w:cs="Futura Lt BT"/>
          <w:lang w:val="es-CR"/>
        </w:rPr>
      </w:pPr>
      <w:r w:rsidRPr="009F2D09">
        <w:rPr>
          <w:rFonts w:ascii="Futura Lt BT" w:eastAsia="Futura Lt BT" w:hAnsi="Futura Lt BT" w:cs="Futura Lt BT"/>
          <w:lang w:val="es-CR"/>
        </w:rPr>
        <w:t xml:space="preserve">El Presidente del Banco de Guatemala, señor Sergio Recinos, informó que </w:t>
      </w:r>
      <w:r w:rsidR="009F4465" w:rsidRPr="009F2D09">
        <w:rPr>
          <w:rFonts w:ascii="Futura Lt BT" w:eastAsia="Futura Lt BT" w:hAnsi="Futura Lt BT" w:cs="Futura Lt BT"/>
          <w:lang w:val="es-CR"/>
        </w:rPr>
        <w:t>en 2020 la economía de Guatemala registró una contracción de 1.5%; y para este 2021 se estima un crecimiento de 3.5%</w:t>
      </w:r>
      <w:r w:rsidR="009F2D09">
        <w:rPr>
          <w:rFonts w:ascii="Futura Lt BT" w:eastAsia="Futura Lt BT" w:hAnsi="Futura Lt BT" w:cs="Futura Lt BT"/>
          <w:lang w:val="es-CR"/>
        </w:rPr>
        <w:t xml:space="preserve"> (</w:t>
      </w:r>
      <w:r w:rsidR="009F4465" w:rsidRPr="009F2D09">
        <w:rPr>
          <w:rFonts w:ascii="Futura Lt BT" w:eastAsia="Futura Lt BT" w:hAnsi="Futura Lt BT" w:cs="Futura Lt BT"/>
          <w:lang w:val="es-CR"/>
        </w:rPr>
        <w:t>en torno al promedio de la última década</w:t>
      </w:r>
      <w:r w:rsidR="009F2D09">
        <w:rPr>
          <w:rFonts w:ascii="Futura Lt BT" w:eastAsia="Futura Lt BT" w:hAnsi="Futura Lt BT" w:cs="Futura Lt BT"/>
          <w:lang w:val="es-CR"/>
        </w:rPr>
        <w:t>)</w:t>
      </w:r>
      <w:r w:rsidR="009F4465" w:rsidRPr="009F2D09">
        <w:rPr>
          <w:rFonts w:ascii="Futura Lt BT" w:eastAsia="Futura Lt BT" w:hAnsi="Futura Lt BT" w:cs="Futura Lt BT"/>
          <w:lang w:val="es-CR"/>
        </w:rPr>
        <w:t>. Por sectores, la caída más fuerte se relaciona con turismo, actividades de alojamiento y de servicio de comidas (-18.8%); transporte (-10.1%), y construcción (-7.4%)</w:t>
      </w:r>
      <w:r w:rsidR="009F2D09">
        <w:rPr>
          <w:rFonts w:ascii="Futura Lt BT" w:eastAsia="Futura Lt BT" w:hAnsi="Futura Lt BT" w:cs="Futura Lt BT"/>
          <w:lang w:val="es-CR"/>
        </w:rPr>
        <w:t>. L</w:t>
      </w:r>
      <w:r w:rsidR="009F4465" w:rsidRPr="009F2D09">
        <w:rPr>
          <w:rFonts w:ascii="Futura Lt BT" w:eastAsia="Futura Lt BT" w:hAnsi="Futura Lt BT" w:cs="Futura Lt BT"/>
          <w:lang w:val="es-CR"/>
        </w:rPr>
        <w:t xml:space="preserve">uego de la contracción de 2020 en la mayoría de </w:t>
      </w:r>
      <w:r w:rsidR="009F2D09">
        <w:rPr>
          <w:rFonts w:ascii="Futura Lt BT" w:eastAsia="Futura Lt BT" w:hAnsi="Futura Lt BT" w:cs="Futura Lt BT"/>
          <w:lang w:val="es-CR"/>
        </w:rPr>
        <w:t xml:space="preserve">las </w:t>
      </w:r>
      <w:r w:rsidR="009F4465" w:rsidRPr="009F2D09">
        <w:rPr>
          <w:rFonts w:ascii="Futura Lt BT" w:eastAsia="Futura Lt BT" w:hAnsi="Futura Lt BT" w:cs="Futura Lt BT"/>
          <w:lang w:val="es-CR"/>
        </w:rPr>
        <w:t xml:space="preserve">actividades económicas, </w:t>
      </w:r>
      <w:r w:rsidR="009F4465" w:rsidRPr="009F2D09">
        <w:rPr>
          <w:rFonts w:ascii="Futura Lt BT" w:eastAsia="Futura Lt BT" w:hAnsi="Futura Lt BT" w:cs="Futura Lt BT"/>
          <w:lang w:val="es-CR"/>
        </w:rPr>
        <w:lastRenderedPageBreak/>
        <w:t>en 2021 todas registrarían un crecimiento relevante (construcción 7%, alojamiento y comidas 5.7%, actividades financieras y seguros 5.7%, salud 4.1%, industria 3.4%, minas y canteras 4</w:t>
      </w:r>
      <w:r w:rsidR="007C5FA6">
        <w:rPr>
          <w:rFonts w:ascii="Futura Lt BT" w:eastAsia="Futura Lt BT" w:hAnsi="Futura Lt BT" w:cs="Futura Lt BT"/>
          <w:lang w:val="es-CR"/>
        </w:rPr>
        <w:t>.</w:t>
      </w:r>
      <w:r w:rsidR="009F4465" w:rsidRPr="009F2D09">
        <w:rPr>
          <w:rFonts w:ascii="Futura Lt BT" w:eastAsia="Futura Lt BT" w:hAnsi="Futura Lt BT" w:cs="Futura Lt BT"/>
          <w:lang w:val="es-CR"/>
        </w:rPr>
        <w:t xml:space="preserve">0%). </w:t>
      </w:r>
      <w:r w:rsidR="009F2D09">
        <w:rPr>
          <w:rFonts w:ascii="Futura Lt BT" w:eastAsia="Futura Lt BT" w:hAnsi="Futura Lt BT" w:cs="Futura Lt BT"/>
          <w:lang w:val="es-CR"/>
        </w:rPr>
        <w:t>Informó que e</w:t>
      </w:r>
      <w:r w:rsidR="009F4465" w:rsidRPr="009F2D09">
        <w:rPr>
          <w:rFonts w:ascii="Futura Lt BT" w:eastAsia="Futura Lt BT" w:hAnsi="Futura Lt BT" w:cs="Futura Lt BT"/>
          <w:lang w:val="es-CR"/>
        </w:rPr>
        <w:t>l IMAE refleja una recuperación importante a partir del cuar</w:t>
      </w:r>
      <w:r w:rsidR="00805392" w:rsidRPr="009F2D09">
        <w:rPr>
          <w:rFonts w:ascii="Futura Lt BT" w:eastAsia="Futura Lt BT" w:hAnsi="Futura Lt BT" w:cs="Futura Lt BT"/>
          <w:lang w:val="es-CR"/>
        </w:rPr>
        <w:t>t</w:t>
      </w:r>
      <w:r w:rsidR="009F4465" w:rsidRPr="009F2D09">
        <w:rPr>
          <w:rFonts w:ascii="Futura Lt BT" w:eastAsia="Futura Lt BT" w:hAnsi="Futura Lt BT" w:cs="Futura Lt BT"/>
          <w:lang w:val="es-CR"/>
        </w:rPr>
        <w:t>o trimestre de 2020</w:t>
      </w:r>
      <w:r w:rsidR="00805392" w:rsidRPr="009F2D09">
        <w:rPr>
          <w:rFonts w:ascii="Futura Lt BT" w:eastAsia="Futura Lt BT" w:hAnsi="Futura Lt BT" w:cs="Futura Lt BT"/>
          <w:lang w:val="es-CR"/>
        </w:rPr>
        <w:t>: en diciembre 3.5% y en enero 3.2%. La confianza económica también ha venido recuperándose: el índice de confianza de la actividad económica (ICAE) se ubicó en 57.19 puntos. El ritmo inflacionario a enero de 2021 se situó en 5.24%; se espera que hacia finales de 2021 la inflación se ubique en 4.50%, dentro de la meta determinada por la Autoridad Monetaria</w:t>
      </w:r>
      <w:r w:rsidR="007D65F5" w:rsidRPr="009F2D09">
        <w:rPr>
          <w:rFonts w:ascii="Futura Lt BT" w:eastAsia="Futura Lt BT" w:hAnsi="Futura Lt BT" w:cs="Futura Lt BT"/>
          <w:lang w:val="es-CR"/>
        </w:rPr>
        <w:t xml:space="preserve">, por lo que las expectativas de inflación permanecen ancladas a esta. En cuanto a las remesas familiares, </w:t>
      </w:r>
      <w:r w:rsidR="009F2D09">
        <w:rPr>
          <w:rFonts w:ascii="Futura Lt BT" w:eastAsia="Futura Lt BT" w:hAnsi="Futura Lt BT" w:cs="Futura Lt BT"/>
          <w:lang w:val="es-CR"/>
        </w:rPr>
        <w:t xml:space="preserve">señaló que </w:t>
      </w:r>
      <w:r w:rsidR="007D65F5" w:rsidRPr="009F2D09">
        <w:rPr>
          <w:rFonts w:ascii="Futura Lt BT" w:eastAsia="Futura Lt BT" w:hAnsi="Futura Lt BT" w:cs="Futura Lt BT"/>
          <w:lang w:val="es-CR"/>
        </w:rPr>
        <w:t xml:space="preserve">estas registraron una desaceleración en 2020 aunque significativamente menor a la esperada originalmente, y </w:t>
      </w:r>
      <w:r w:rsidR="009F2D09">
        <w:rPr>
          <w:rFonts w:ascii="Futura Lt BT" w:eastAsia="Futura Lt BT" w:hAnsi="Futura Lt BT" w:cs="Futura Lt BT"/>
          <w:lang w:val="es-CR"/>
        </w:rPr>
        <w:t xml:space="preserve">que </w:t>
      </w:r>
      <w:r w:rsidR="007D65F5" w:rsidRPr="009F2D09">
        <w:rPr>
          <w:rFonts w:ascii="Futura Lt BT" w:eastAsia="Futura Lt BT" w:hAnsi="Futura Lt BT" w:cs="Futura Lt BT"/>
          <w:lang w:val="es-CR"/>
        </w:rPr>
        <w:t>se prevé que tengan un crecimiento significativo en 2021</w:t>
      </w:r>
      <w:r w:rsidR="001F5E4E" w:rsidRPr="009F2D09">
        <w:rPr>
          <w:rFonts w:ascii="Futura Lt BT" w:eastAsia="Futura Lt BT" w:hAnsi="Futura Lt BT" w:cs="Futura Lt BT"/>
          <w:lang w:val="es-CR"/>
        </w:rPr>
        <w:t xml:space="preserve">, </w:t>
      </w:r>
      <w:r w:rsidR="009F2D09">
        <w:rPr>
          <w:rFonts w:ascii="Futura Lt BT" w:eastAsia="Futura Lt BT" w:hAnsi="Futura Lt BT" w:cs="Futura Lt BT"/>
          <w:lang w:val="es-CR"/>
        </w:rPr>
        <w:t xml:space="preserve">estimándose </w:t>
      </w:r>
      <w:r w:rsidR="001F5E4E" w:rsidRPr="009F2D09">
        <w:rPr>
          <w:rFonts w:ascii="Futura Lt BT" w:eastAsia="Futura Lt BT" w:hAnsi="Futura Lt BT" w:cs="Futura Lt BT"/>
          <w:lang w:val="es-CR"/>
        </w:rPr>
        <w:t>que puede</w:t>
      </w:r>
      <w:r w:rsidR="009F2D09">
        <w:rPr>
          <w:rFonts w:ascii="Futura Lt BT" w:eastAsia="Futura Lt BT" w:hAnsi="Futura Lt BT" w:cs="Futura Lt BT"/>
          <w:lang w:val="es-CR"/>
        </w:rPr>
        <w:t>n</w:t>
      </w:r>
      <w:r w:rsidR="001F5E4E" w:rsidRPr="009F2D09">
        <w:rPr>
          <w:rFonts w:ascii="Futura Lt BT" w:eastAsia="Futura Lt BT" w:hAnsi="Futura Lt BT" w:cs="Futura Lt BT"/>
          <w:lang w:val="es-CR"/>
        </w:rPr>
        <w:t xml:space="preserve"> crecer alrededor del 10% (escenario central)</w:t>
      </w:r>
      <w:r w:rsidR="007D65F5" w:rsidRPr="009F2D09">
        <w:rPr>
          <w:rFonts w:ascii="Futura Lt BT" w:eastAsia="Futura Lt BT" w:hAnsi="Futura Lt BT" w:cs="Futura Lt BT"/>
          <w:lang w:val="es-CR"/>
        </w:rPr>
        <w:t xml:space="preserve">. Su peso </w:t>
      </w:r>
      <w:r w:rsidR="001F5E4E" w:rsidRPr="009F2D09">
        <w:rPr>
          <w:rFonts w:ascii="Futura Lt BT" w:eastAsia="Futura Lt BT" w:hAnsi="Futura Lt BT" w:cs="Futura Lt BT"/>
          <w:lang w:val="es-CR"/>
        </w:rPr>
        <w:t xml:space="preserve">respecto al PIB ha ido aumentando desde 2014, en 2021 se estima un 15.3%; el año pasado ingresaron más de USD11,340 millones y para 2021 se estiman USD12,474 millones. </w:t>
      </w:r>
    </w:p>
    <w:p w14:paraId="2BE01CFC" w14:textId="233A1026" w:rsidR="001F5E4E" w:rsidRPr="009F2D09" w:rsidRDefault="001F5E4E" w:rsidP="00EF49B6">
      <w:pPr>
        <w:pStyle w:val="Body"/>
        <w:spacing w:before="120" w:after="240" w:line="240" w:lineRule="auto"/>
        <w:ind w:firstLine="709"/>
        <w:jc w:val="both"/>
        <w:rPr>
          <w:rFonts w:ascii="Futura Lt BT" w:eastAsia="Futura Lt BT" w:hAnsi="Futura Lt BT" w:cs="Futura Lt BT"/>
          <w:color w:val="auto"/>
          <w:lang w:val="es-CR"/>
        </w:rPr>
      </w:pPr>
      <w:r w:rsidRPr="009F2D09">
        <w:rPr>
          <w:rFonts w:ascii="Futura Lt BT" w:eastAsia="Futura Lt BT" w:hAnsi="Futura Lt BT" w:cs="Futura Lt BT"/>
          <w:color w:val="auto"/>
          <w:lang w:val="es-CR"/>
        </w:rPr>
        <w:t xml:space="preserve">En cuanto a la demanda externa, </w:t>
      </w:r>
      <w:r w:rsidR="009F2D09">
        <w:rPr>
          <w:rFonts w:ascii="Futura Lt BT" w:eastAsia="Futura Lt BT" w:hAnsi="Futura Lt BT" w:cs="Futura Lt BT"/>
          <w:color w:val="auto"/>
          <w:lang w:val="es-CR"/>
        </w:rPr>
        <w:t xml:space="preserve">señaló que </w:t>
      </w:r>
      <w:r w:rsidRPr="009F2D09">
        <w:rPr>
          <w:rFonts w:ascii="Futura Lt BT" w:eastAsia="Futura Lt BT" w:hAnsi="Futura Lt BT" w:cs="Futura Lt BT"/>
          <w:color w:val="auto"/>
          <w:lang w:val="es-CR"/>
        </w:rPr>
        <w:t xml:space="preserve">las exportaciones </w:t>
      </w:r>
      <w:r w:rsidR="006F312E" w:rsidRPr="009F2D09">
        <w:rPr>
          <w:rFonts w:ascii="Futura Lt BT" w:eastAsia="Futura Lt BT" w:hAnsi="Futura Lt BT" w:cs="Futura Lt BT"/>
          <w:color w:val="auto"/>
          <w:lang w:val="es-CR"/>
        </w:rPr>
        <w:t xml:space="preserve">cerraron con </w:t>
      </w:r>
      <w:r w:rsidR="00E77EA0">
        <w:rPr>
          <w:rFonts w:ascii="Futura Lt BT" w:eastAsia="Futura Lt BT" w:hAnsi="Futura Lt BT" w:cs="Futura Lt BT"/>
          <w:color w:val="auto"/>
          <w:lang w:val="es-CR"/>
        </w:rPr>
        <w:t xml:space="preserve">in alza de </w:t>
      </w:r>
      <w:r w:rsidR="006F312E" w:rsidRPr="009F2D09">
        <w:rPr>
          <w:rFonts w:ascii="Futura Lt BT" w:eastAsia="Futura Lt BT" w:hAnsi="Futura Lt BT" w:cs="Futura Lt BT"/>
          <w:color w:val="auto"/>
          <w:lang w:val="es-CR"/>
        </w:rPr>
        <w:t xml:space="preserve">3.4%, </w:t>
      </w:r>
      <w:r w:rsidRPr="009F2D09">
        <w:rPr>
          <w:rFonts w:ascii="Futura Lt BT" w:eastAsia="Futura Lt BT" w:hAnsi="Futura Lt BT" w:cs="Futura Lt BT"/>
          <w:color w:val="auto"/>
          <w:lang w:val="es-CR"/>
        </w:rPr>
        <w:t>registran un crecimiento de 7.9% a enero de 2021</w:t>
      </w:r>
      <w:r w:rsidR="006F312E" w:rsidRPr="009F2D09">
        <w:rPr>
          <w:rFonts w:ascii="Futura Lt BT" w:eastAsia="Futura Lt BT" w:hAnsi="Futura Lt BT" w:cs="Futura Lt BT"/>
          <w:color w:val="auto"/>
          <w:lang w:val="es-CR"/>
        </w:rPr>
        <w:t>,</w:t>
      </w:r>
      <w:r w:rsidRPr="009F2D09">
        <w:rPr>
          <w:rFonts w:ascii="Futura Lt BT" w:eastAsia="Futura Lt BT" w:hAnsi="Futura Lt BT" w:cs="Futura Lt BT"/>
          <w:color w:val="auto"/>
          <w:lang w:val="es-CR"/>
        </w:rPr>
        <w:t xml:space="preserve"> y se espera que aumenten 9</w:t>
      </w:r>
      <w:r w:rsidR="00C54E0D">
        <w:rPr>
          <w:rFonts w:ascii="Futura Lt BT" w:eastAsia="Futura Lt BT" w:hAnsi="Futura Lt BT" w:cs="Futura Lt BT"/>
          <w:color w:val="auto"/>
          <w:lang w:val="es-CR"/>
        </w:rPr>
        <w:t>.</w:t>
      </w:r>
      <w:r w:rsidRPr="009F2D09">
        <w:rPr>
          <w:rFonts w:ascii="Futura Lt BT" w:eastAsia="Futura Lt BT" w:hAnsi="Futura Lt BT" w:cs="Futura Lt BT"/>
          <w:color w:val="auto"/>
          <w:lang w:val="es-CR"/>
        </w:rPr>
        <w:t>0% para finales de 2021</w:t>
      </w:r>
      <w:r w:rsidR="005D1355" w:rsidRPr="009F2D09">
        <w:rPr>
          <w:rFonts w:ascii="Futura Lt BT" w:eastAsia="Futura Lt BT" w:hAnsi="Futura Lt BT" w:cs="Futura Lt BT"/>
          <w:color w:val="auto"/>
          <w:lang w:val="es-CR"/>
        </w:rPr>
        <w:t xml:space="preserve">. Por su parte, las importaciones registran una disminución de 1.9% a enero de 2021 y se recuperarían a 9.5% para diciembre de 2021. </w:t>
      </w:r>
      <w:r w:rsidR="006F312E" w:rsidRPr="009F2D09">
        <w:rPr>
          <w:rFonts w:ascii="Futura Lt BT" w:eastAsia="Futura Lt BT" w:hAnsi="Futura Lt BT" w:cs="Futura Lt BT"/>
          <w:color w:val="auto"/>
          <w:lang w:val="es-CR"/>
        </w:rPr>
        <w:t>Una mejora en los términos de intercambio y el aumento en los ingresos por remesas familiares a partir de 2015 han contribuido a que el saldo de la cuenta corriente de la balanza de pagos sea superavitario (5.2% en 2020)</w:t>
      </w:r>
      <w:r w:rsidR="009F2D09">
        <w:rPr>
          <w:rFonts w:ascii="Futura Lt BT" w:eastAsia="Futura Lt BT" w:hAnsi="Futura Lt BT" w:cs="Futura Lt BT"/>
          <w:color w:val="auto"/>
          <w:lang w:val="es-CR"/>
        </w:rPr>
        <w:t>;</w:t>
      </w:r>
      <w:r w:rsidR="006F312E" w:rsidRPr="009F2D09">
        <w:rPr>
          <w:rFonts w:ascii="Futura Lt BT" w:eastAsia="Futura Lt BT" w:hAnsi="Futura Lt BT" w:cs="Futura Lt BT"/>
          <w:color w:val="auto"/>
          <w:lang w:val="es-CR"/>
        </w:rPr>
        <w:t xml:space="preserve"> para 2021 se estima en 4.7%. El tipo de cambio ha estado bastante estable desde una perspectiva de largo plazo, a pesar de los efectos derivados de la pandemia en 2020 (actualmente Q7.71007 por dólar). </w:t>
      </w:r>
      <w:r w:rsidR="00B769FC" w:rsidRPr="009F2D09">
        <w:rPr>
          <w:rFonts w:ascii="Futura Lt BT" w:eastAsia="Futura Lt BT" w:hAnsi="Futura Lt BT" w:cs="Futura Lt BT"/>
          <w:color w:val="auto"/>
          <w:lang w:val="es-CR"/>
        </w:rPr>
        <w:t xml:space="preserve">La política monetaria ha sido </w:t>
      </w:r>
      <w:r w:rsidR="00225593" w:rsidRPr="009F2D09">
        <w:rPr>
          <w:rFonts w:ascii="Futura Lt BT" w:eastAsia="Futura Lt BT" w:hAnsi="Futura Lt BT" w:cs="Futura Lt BT"/>
          <w:color w:val="auto"/>
          <w:lang w:val="es-CR"/>
        </w:rPr>
        <w:t xml:space="preserve">ampliamente acomodaticia y </w:t>
      </w:r>
      <w:r w:rsidR="00B769FC" w:rsidRPr="009F2D09">
        <w:rPr>
          <w:rFonts w:ascii="Futura Lt BT" w:eastAsia="Futura Lt BT" w:hAnsi="Futura Lt BT" w:cs="Futura Lt BT"/>
          <w:color w:val="auto"/>
          <w:lang w:val="es-CR"/>
        </w:rPr>
        <w:t>consistente con una adecuada mezcla de políticas macroeconómicas apoyando el crecimiento económico en la medida en que la inflación lo ha permitido. La</w:t>
      </w:r>
      <w:r w:rsidR="00225593" w:rsidRPr="009F2D09">
        <w:rPr>
          <w:rFonts w:ascii="Futura Lt BT" w:eastAsia="Futura Lt BT" w:hAnsi="Futura Lt BT" w:cs="Futura Lt BT"/>
          <w:color w:val="auto"/>
          <w:lang w:val="es-CR"/>
        </w:rPr>
        <w:t xml:space="preserve"> tasa de interés líder de política monetaria ha venido bajando desde 2014 y las</w:t>
      </w:r>
      <w:r w:rsidR="00B769FC" w:rsidRPr="009F2D09">
        <w:rPr>
          <w:rFonts w:ascii="Futura Lt BT" w:eastAsia="Futura Lt BT" w:hAnsi="Futura Lt BT" w:cs="Futura Lt BT"/>
          <w:color w:val="auto"/>
          <w:lang w:val="es-CR"/>
        </w:rPr>
        <w:t xml:space="preserve"> tasas de interés del sistema bancario se mantienen en niveles históricamente bajos</w:t>
      </w:r>
      <w:r w:rsidR="00225593" w:rsidRPr="009F2D09">
        <w:rPr>
          <w:rFonts w:ascii="Futura Lt BT" w:eastAsia="Futura Lt BT" w:hAnsi="Futura Lt BT" w:cs="Futura Lt BT"/>
          <w:color w:val="auto"/>
          <w:lang w:val="es-CR"/>
        </w:rPr>
        <w:t>, apoyando la demanda de crédito por parte de los hogares y empresas</w:t>
      </w:r>
      <w:r w:rsidR="00995080" w:rsidRPr="009F2D09">
        <w:rPr>
          <w:rFonts w:ascii="Futura Lt BT" w:eastAsia="Futura Lt BT" w:hAnsi="Futura Lt BT" w:cs="Futura Lt BT"/>
          <w:color w:val="auto"/>
          <w:lang w:val="es-CR"/>
        </w:rPr>
        <w:t>; mientras e</w:t>
      </w:r>
      <w:r w:rsidR="00225593" w:rsidRPr="009F2D09">
        <w:rPr>
          <w:rFonts w:ascii="Futura Lt BT" w:eastAsia="Futura Lt BT" w:hAnsi="Futura Lt BT" w:cs="Futura Lt BT"/>
          <w:color w:val="auto"/>
          <w:lang w:val="es-CR"/>
        </w:rPr>
        <w:t>l sistema bancario mantiene indicadores estables y adecuados.</w:t>
      </w:r>
    </w:p>
    <w:p w14:paraId="5BA685F7" w14:textId="3B9A0015" w:rsidR="0002765D" w:rsidRPr="002E5C08" w:rsidRDefault="000E4E08" w:rsidP="00F2576C">
      <w:pPr>
        <w:pStyle w:val="Body"/>
        <w:spacing w:before="120" w:after="240" w:line="240" w:lineRule="auto"/>
        <w:ind w:firstLine="709"/>
        <w:jc w:val="both"/>
        <w:rPr>
          <w:rFonts w:ascii="Futura Lt BT" w:eastAsia="Futura Lt BT" w:hAnsi="Futura Lt BT" w:cs="Futura Lt BT"/>
          <w:color w:val="auto"/>
          <w:lang w:val="es-CR"/>
        </w:rPr>
      </w:pPr>
      <w:r w:rsidRPr="002E5C08">
        <w:rPr>
          <w:rFonts w:ascii="Futura Lt BT" w:eastAsia="Futura Lt BT" w:hAnsi="Futura Lt BT" w:cs="Futura Lt BT"/>
          <w:color w:val="auto"/>
          <w:lang w:val="es-CR"/>
        </w:rPr>
        <w:t xml:space="preserve">El Presidente del Banco Central de Costa Rica, </w:t>
      </w:r>
      <w:r w:rsidR="000148E9" w:rsidRPr="002E5C08">
        <w:rPr>
          <w:rFonts w:ascii="Futura Lt BT" w:eastAsia="Futura Lt BT" w:hAnsi="Futura Lt BT" w:cs="Futura Lt BT"/>
          <w:color w:val="auto"/>
          <w:lang w:val="es-CR"/>
        </w:rPr>
        <w:t>señor</w:t>
      </w:r>
      <w:r w:rsidRPr="002E5C08">
        <w:rPr>
          <w:rFonts w:ascii="Futura Lt BT" w:eastAsia="Futura Lt BT" w:hAnsi="Futura Lt BT" w:cs="Futura Lt BT"/>
          <w:color w:val="auto"/>
          <w:lang w:val="es-CR"/>
        </w:rPr>
        <w:t xml:space="preserve"> Rodrigo Cubero, in</w:t>
      </w:r>
      <w:r w:rsidR="00743DD2" w:rsidRPr="002E5C08">
        <w:rPr>
          <w:rFonts w:ascii="Futura Lt BT" w:eastAsia="Futura Lt BT" w:hAnsi="Futura Lt BT" w:cs="Futura Lt BT"/>
          <w:color w:val="auto"/>
          <w:lang w:val="es-CR"/>
        </w:rPr>
        <w:t>formó</w:t>
      </w:r>
      <w:r w:rsidR="00E272CA" w:rsidRPr="002E5C08">
        <w:rPr>
          <w:rFonts w:ascii="Futura Lt BT" w:eastAsia="Futura Lt BT" w:hAnsi="Futura Lt BT" w:cs="Futura Lt BT"/>
          <w:color w:val="auto"/>
          <w:lang w:val="es-CR"/>
        </w:rPr>
        <w:t xml:space="preserve"> que </w:t>
      </w:r>
      <w:r w:rsidR="00D71053">
        <w:rPr>
          <w:rFonts w:ascii="Futura Lt BT" w:eastAsia="Futura Lt BT" w:hAnsi="Futura Lt BT" w:cs="Futura Lt BT"/>
          <w:color w:val="auto"/>
          <w:lang w:val="es-CR"/>
        </w:rPr>
        <w:t>su país</w:t>
      </w:r>
      <w:r w:rsidR="008A5A1F" w:rsidRPr="002E5C08">
        <w:rPr>
          <w:rFonts w:ascii="Futura Lt BT" w:eastAsia="Futura Lt BT" w:hAnsi="Futura Lt BT" w:cs="Futura Lt BT"/>
          <w:color w:val="auto"/>
          <w:lang w:val="es-CR"/>
        </w:rPr>
        <w:t xml:space="preserve"> tuvo que adoptar </w:t>
      </w:r>
      <w:r w:rsidR="00D71053">
        <w:rPr>
          <w:rFonts w:ascii="Futura Lt BT" w:eastAsia="Futura Lt BT" w:hAnsi="Futura Lt BT" w:cs="Futura Lt BT"/>
          <w:color w:val="auto"/>
          <w:lang w:val="es-CR"/>
        </w:rPr>
        <w:t xml:space="preserve">fuertes </w:t>
      </w:r>
      <w:r w:rsidR="008A5A1F" w:rsidRPr="002E5C08">
        <w:rPr>
          <w:rFonts w:ascii="Futura Lt BT" w:eastAsia="Futura Lt BT" w:hAnsi="Futura Lt BT" w:cs="Futura Lt BT"/>
          <w:color w:val="auto"/>
          <w:lang w:val="es-CR"/>
        </w:rPr>
        <w:t xml:space="preserve">medidas de restricción sanitaria al inicio, </w:t>
      </w:r>
      <w:r w:rsidR="00E577CD">
        <w:rPr>
          <w:rFonts w:ascii="Futura Lt BT" w:eastAsia="Futura Lt BT" w:hAnsi="Futura Lt BT" w:cs="Futura Lt BT"/>
          <w:color w:val="auto"/>
          <w:lang w:val="es-CR"/>
        </w:rPr>
        <w:t xml:space="preserve">y </w:t>
      </w:r>
      <w:r w:rsidR="00D71053">
        <w:rPr>
          <w:rFonts w:ascii="Futura Lt BT" w:eastAsia="Futura Lt BT" w:hAnsi="Futura Lt BT" w:cs="Futura Lt BT"/>
          <w:color w:val="auto"/>
          <w:lang w:val="es-CR"/>
        </w:rPr>
        <w:t xml:space="preserve">que </w:t>
      </w:r>
      <w:r w:rsidR="008A5A1F" w:rsidRPr="002E5C08">
        <w:rPr>
          <w:rFonts w:ascii="Futura Lt BT" w:eastAsia="Futura Lt BT" w:hAnsi="Futura Lt BT" w:cs="Futura Lt BT"/>
          <w:color w:val="auto"/>
          <w:lang w:val="es-CR"/>
        </w:rPr>
        <w:t xml:space="preserve">se desató una segunda ola en julio, </w:t>
      </w:r>
      <w:r w:rsidR="00E577CD">
        <w:rPr>
          <w:rFonts w:ascii="Futura Lt BT" w:eastAsia="Futura Lt BT" w:hAnsi="Futura Lt BT" w:cs="Futura Lt BT"/>
          <w:color w:val="auto"/>
          <w:lang w:val="es-CR"/>
        </w:rPr>
        <w:t xml:space="preserve">después de la cual </w:t>
      </w:r>
      <w:r w:rsidR="008A5A1F" w:rsidRPr="002E5C08">
        <w:rPr>
          <w:rFonts w:ascii="Futura Lt BT" w:eastAsia="Futura Lt BT" w:hAnsi="Futura Lt BT" w:cs="Futura Lt BT"/>
          <w:color w:val="auto"/>
          <w:lang w:val="es-CR"/>
        </w:rPr>
        <w:t xml:space="preserve">se restableció el proceso de apertura y al final de año </w:t>
      </w:r>
      <w:r w:rsidR="00D71053">
        <w:rPr>
          <w:rFonts w:ascii="Futura Lt BT" w:eastAsia="Futura Lt BT" w:hAnsi="Futura Lt BT" w:cs="Futura Lt BT"/>
          <w:color w:val="auto"/>
          <w:lang w:val="es-CR"/>
        </w:rPr>
        <w:t xml:space="preserve">2020 </w:t>
      </w:r>
      <w:r w:rsidR="008A5A1F" w:rsidRPr="002E5C08">
        <w:rPr>
          <w:rFonts w:ascii="Futura Lt BT" w:eastAsia="Futura Lt BT" w:hAnsi="Futura Lt BT" w:cs="Futura Lt BT"/>
          <w:color w:val="auto"/>
          <w:lang w:val="es-CR"/>
        </w:rPr>
        <w:t xml:space="preserve">se incrementaron </w:t>
      </w:r>
      <w:r w:rsidR="00D71053">
        <w:rPr>
          <w:rFonts w:ascii="Futura Lt BT" w:eastAsia="Futura Lt BT" w:hAnsi="Futura Lt BT" w:cs="Futura Lt BT"/>
          <w:color w:val="auto"/>
          <w:lang w:val="es-CR"/>
        </w:rPr>
        <w:t xml:space="preserve">nuevamente </w:t>
      </w:r>
      <w:r w:rsidR="008A5A1F" w:rsidRPr="002E5C08">
        <w:rPr>
          <w:rFonts w:ascii="Futura Lt BT" w:eastAsia="Futura Lt BT" w:hAnsi="Futura Lt BT" w:cs="Futura Lt BT"/>
          <w:color w:val="auto"/>
          <w:lang w:val="es-CR"/>
        </w:rPr>
        <w:t xml:space="preserve">las medidas; con una caída de la movilidad.  A partir de agosto </w:t>
      </w:r>
      <w:r w:rsidR="00D71053">
        <w:rPr>
          <w:rFonts w:ascii="Futura Lt BT" w:eastAsia="Futura Lt BT" w:hAnsi="Futura Lt BT" w:cs="Futura Lt BT"/>
          <w:color w:val="auto"/>
          <w:lang w:val="es-CR"/>
        </w:rPr>
        <w:t>2020</w:t>
      </w:r>
      <w:r w:rsidR="003A4B98">
        <w:rPr>
          <w:rFonts w:ascii="Futura Lt BT" w:eastAsia="Futura Lt BT" w:hAnsi="Futura Lt BT" w:cs="Futura Lt BT"/>
          <w:color w:val="auto"/>
          <w:lang w:val="es-CR"/>
        </w:rPr>
        <w:t>,</w:t>
      </w:r>
      <w:r w:rsidR="00D71053">
        <w:rPr>
          <w:rFonts w:ascii="Futura Lt BT" w:eastAsia="Futura Lt BT" w:hAnsi="Futura Lt BT" w:cs="Futura Lt BT"/>
          <w:color w:val="auto"/>
          <w:lang w:val="es-CR"/>
        </w:rPr>
        <w:t xml:space="preserve"> </w:t>
      </w:r>
      <w:r w:rsidR="008A5A1F" w:rsidRPr="002E5C08">
        <w:rPr>
          <w:rFonts w:ascii="Futura Lt BT" w:eastAsia="Futura Lt BT" w:hAnsi="Futura Lt BT" w:cs="Futura Lt BT"/>
          <w:color w:val="auto"/>
          <w:lang w:val="es-CR"/>
        </w:rPr>
        <w:t xml:space="preserve">el IMAE presentó menores tasas de caída interanual en un contexto de flexibilización gradual de las medidas sanitarias en el mundo y en el país; </w:t>
      </w:r>
      <w:r w:rsidR="00D71053">
        <w:rPr>
          <w:rFonts w:ascii="Futura Lt BT" w:eastAsia="Futura Lt BT" w:hAnsi="Futura Lt BT" w:cs="Futura Lt BT"/>
          <w:color w:val="auto"/>
          <w:lang w:val="es-CR"/>
        </w:rPr>
        <w:t xml:space="preserve">el año </w:t>
      </w:r>
      <w:r w:rsidR="008A5A1F" w:rsidRPr="002E5C08">
        <w:rPr>
          <w:rFonts w:ascii="Futura Lt BT" w:eastAsia="Futura Lt BT" w:hAnsi="Futura Lt BT" w:cs="Futura Lt BT"/>
          <w:color w:val="auto"/>
          <w:lang w:val="es-CR"/>
        </w:rPr>
        <w:t xml:space="preserve">2020 finalizó con una contracción estimada de 4.5% del PIB. En </w:t>
      </w:r>
      <w:r w:rsidR="00046E9D" w:rsidRPr="002E5C08">
        <w:rPr>
          <w:rFonts w:ascii="Futura Lt BT" w:eastAsia="Futura Lt BT" w:hAnsi="Futura Lt BT" w:cs="Futura Lt BT"/>
          <w:color w:val="auto"/>
          <w:lang w:val="es-CR"/>
        </w:rPr>
        <w:t>esta</w:t>
      </w:r>
      <w:r w:rsidR="008A5A1F" w:rsidRPr="002E5C08">
        <w:rPr>
          <w:rFonts w:ascii="Futura Lt BT" w:eastAsia="Futura Lt BT" w:hAnsi="Futura Lt BT" w:cs="Futura Lt BT"/>
          <w:color w:val="auto"/>
          <w:lang w:val="es-CR"/>
        </w:rPr>
        <w:t xml:space="preserve"> fueron determinantes una alta tasa de desempleo</w:t>
      </w:r>
      <w:r w:rsidR="00D71053">
        <w:rPr>
          <w:rFonts w:ascii="Futura Lt BT" w:eastAsia="Futura Lt BT" w:hAnsi="Futura Lt BT" w:cs="Futura Lt BT"/>
          <w:color w:val="auto"/>
          <w:lang w:val="es-CR"/>
        </w:rPr>
        <w:t>,</w:t>
      </w:r>
      <w:r w:rsidR="008A5A1F" w:rsidRPr="002E5C08">
        <w:rPr>
          <w:rFonts w:ascii="Futura Lt BT" w:eastAsia="Futura Lt BT" w:hAnsi="Futura Lt BT" w:cs="Futura Lt BT"/>
          <w:color w:val="auto"/>
          <w:lang w:val="es-CR"/>
        </w:rPr>
        <w:t xml:space="preserve"> que limit</w:t>
      </w:r>
      <w:r w:rsidR="00046E9D" w:rsidRPr="002E5C08">
        <w:rPr>
          <w:rFonts w:ascii="Futura Lt BT" w:eastAsia="Futura Lt BT" w:hAnsi="Futura Lt BT" w:cs="Futura Lt BT"/>
          <w:color w:val="auto"/>
          <w:lang w:val="es-CR"/>
        </w:rPr>
        <w:t>ó</w:t>
      </w:r>
      <w:r w:rsidR="008A5A1F" w:rsidRPr="002E5C08">
        <w:rPr>
          <w:rFonts w:ascii="Futura Lt BT" w:eastAsia="Futura Lt BT" w:hAnsi="Futura Lt BT" w:cs="Futura Lt BT"/>
          <w:color w:val="auto"/>
          <w:lang w:val="es-CR"/>
        </w:rPr>
        <w:t xml:space="preserve"> el crecimiento de la demanda interna al afectar el consumo de los hogares, la caída de la inversión y la contracción en la exportación de servicios, en especial asociados al turismo. El impacto sobre los compone</w:t>
      </w:r>
      <w:r w:rsidR="00046E9D" w:rsidRPr="002E5C08">
        <w:rPr>
          <w:rFonts w:ascii="Futura Lt BT" w:eastAsia="Futura Lt BT" w:hAnsi="Futura Lt BT" w:cs="Futura Lt BT"/>
          <w:color w:val="auto"/>
          <w:lang w:val="es-CR"/>
        </w:rPr>
        <w:t>n</w:t>
      </w:r>
      <w:r w:rsidR="008A5A1F" w:rsidRPr="002E5C08">
        <w:rPr>
          <w:rFonts w:ascii="Futura Lt BT" w:eastAsia="Futura Lt BT" w:hAnsi="Futura Lt BT" w:cs="Futura Lt BT"/>
          <w:color w:val="auto"/>
          <w:lang w:val="es-CR"/>
        </w:rPr>
        <w:t>tes</w:t>
      </w:r>
      <w:r w:rsidR="00046E9D" w:rsidRPr="002E5C08">
        <w:rPr>
          <w:rFonts w:ascii="Futura Lt BT" w:eastAsia="Futura Lt BT" w:hAnsi="Futura Lt BT" w:cs="Futura Lt BT"/>
          <w:color w:val="auto"/>
          <w:lang w:val="es-CR"/>
        </w:rPr>
        <w:t xml:space="preserve"> </w:t>
      </w:r>
      <w:r w:rsidR="008A5A1F" w:rsidRPr="002E5C08">
        <w:rPr>
          <w:rFonts w:ascii="Futura Lt BT" w:eastAsia="Futura Lt BT" w:hAnsi="Futura Lt BT" w:cs="Futura Lt BT"/>
          <w:color w:val="auto"/>
          <w:lang w:val="es-CR"/>
        </w:rPr>
        <w:t xml:space="preserve">del gasto fue muy severo, particularmente el consumo de hogares (-2.8%), el consumo del </w:t>
      </w:r>
      <w:r w:rsidR="00D71053">
        <w:rPr>
          <w:rFonts w:ascii="Futura Lt BT" w:eastAsia="Futura Lt BT" w:hAnsi="Futura Lt BT" w:cs="Futura Lt BT"/>
          <w:color w:val="auto"/>
          <w:lang w:val="es-CR"/>
        </w:rPr>
        <w:t>G</w:t>
      </w:r>
      <w:r w:rsidR="008A5A1F" w:rsidRPr="002E5C08">
        <w:rPr>
          <w:rFonts w:ascii="Futura Lt BT" w:eastAsia="Futura Lt BT" w:hAnsi="Futura Lt BT" w:cs="Futura Lt BT"/>
          <w:color w:val="auto"/>
          <w:lang w:val="es-CR"/>
        </w:rPr>
        <w:t>obierno en general (0.1%), inversión (-1.2%) y exportaciones netas</w:t>
      </w:r>
      <w:r w:rsidR="00046E9D" w:rsidRPr="002E5C08">
        <w:rPr>
          <w:rFonts w:ascii="Futura Lt BT" w:eastAsia="Futura Lt BT" w:hAnsi="Futura Lt BT" w:cs="Futura Lt BT"/>
          <w:color w:val="auto"/>
          <w:lang w:val="es-CR"/>
        </w:rPr>
        <w:t xml:space="preserve"> (-0.6%). </w:t>
      </w:r>
      <w:r w:rsidR="00442896" w:rsidRPr="002E5C08">
        <w:rPr>
          <w:rFonts w:ascii="Futura Lt BT" w:eastAsia="Futura Lt BT" w:hAnsi="Futura Lt BT" w:cs="Futura Lt BT"/>
          <w:color w:val="auto"/>
          <w:lang w:val="es-CR"/>
        </w:rPr>
        <w:t xml:space="preserve">Toda la actividad ligada al turismo (hoteles y restaurantes) fue fuertemente afectada, una caída de casi el 41% en términos interanuales, mitigada </w:t>
      </w:r>
      <w:r w:rsidR="00D71053">
        <w:rPr>
          <w:rFonts w:ascii="Futura Lt BT" w:eastAsia="Futura Lt BT" w:hAnsi="Futura Lt BT" w:cs="Futura Lt BT"/>
          <w:color w:val="auto"/>
          <w:lang w:val="es-CR"/>
        </w:rPr>
        <w:t xml:space="preserve">parcialmente </w:t>
      </w:r>
      <w:r w:rsidR="00442896" w:rsidRPr="002E5C08">
        <w:rPr>
          <w:rFonts w:ascii="Futura Lt BT" w:eastAsia="Futura Lt BT" w:hAnsi="Futura Lt BT" w:cs="Futura Lt BT"/>
          <w:color w:val="auto"/>
          <w:lang w:val="es-CR"/>
        </w:rPr>
        <w:t>por el turismo interno.</w:t>
      </w:r>
      <w:r w:rsidR="00833C03" w:rsidRPr="002E5C08">
        <w:rPr>
          <w:rFonts w:ascii="Futura Lt BT" w:eastAsia="Futura Lt BT" w:hAnsi="Futura Lt BT" w:cs="Futura Lt BT"/>
          <w:color w:val="auto"/>
          <w:lang w:val="es-CR"/>
        </w:rPr>
        <w:t xml:space="preserve"> El transporte también fue afectado (-22.3%) así como el comercio (-10%). La crisis por la pandemia golpeó fuertemente el mercado laboral: se duplicaron el desempleo y el subempleo, bajaron la tasa de ocupación y la tasa </w:t>
      </w:r>
      <w:r w:rsidR="00D71053">
        <w:rPr>
          <w:rFonts w:ascii="Futura Lt BT" w:eastAsia="Futura Lt BT" w:hAnsi="Futura Lt BT" w:cs="Futura Lt BT"/>
          <w:color w:val="auto"/>
          <w:lang w:val="es-CR"/>
        </w:rPr>
        <w:t>neta</w:t>
      </w:r>
      <w:r w:rsidR="00833C03" w:rsidRPr="002E5C08">
        <w:rPr>
          <w:rFonts w:ascii="Futura Lt BT" w:eastAsia="Futura Lt BT" w:hAnsi="Futura Lt BT" w:cs="Futura Lt BT"/>
          <w:color w:val="auto"/>
          <w:lang w:val="es-CR"/>
        </w:rPr>
        <w:t xml:space="preserve"> de participación, aunque a partir de agosto ha habido una mejora moderada en todos esos indicadores.</w:t>
      </w:r>
      <w:r w:rsidR="00A95790" w:rsidRPr="002E5C08">
        <w:rPr>
          <w:rFonts w:ascii="Futura Lt BT" w:eastAsia="Futura Lt BT" w:hAnsi="Futura Lt BT" w:cs="Futura Lt BT"/>
          <w:color w:val="auto"/>
          <w:lang w:val="es-CR"/>
        </w:rPr>
        <w:t xml:space="preserve"> En cuanto a comercio exterior,</w:t>
      </w:r>
      <w:r w:rsidR="00D71053">
        <w:rPr>
          <w:rFonts w:ascii="Futura Lt BT" w:eastAsia="Futura Lt BT" w:hAnsi="Futura Lt BT" w:cs="Futura Lt BT"/>
          <w:color w:val="auto"/>
          <w:lang w:val="es-CR"/>
        </w:rPr>
        <w:t xml:space="preserve"> señaló que</w:t>
      </w:r>
      <w:r w:rsidR="00A95790" w:rsidRPr="002E5C08">
        <w:rPr>
          <w:rFonts w:ascii="Futura Lt BT" w:eastAsia="Futura Lt BT" w:hAnsi="Futura Lt BT" w:cs="Futura Lt BT"/>
          <w:color w:val="auto"/>
          <w:lang w:val="es-CR"/>
        </w:rPr>
        <w:t xml:space="preserve"> en la cuenta de bienes se observó una reducción en las compras externas (10.6%)</w:t>
      </w:r>
      <w:r w:rsidR="00D71053">
        <w:rPr>
          <w:rFonts w:ascii="Futura Lt BT" w:eastAsia="Futura Lt BT" w:hAnsi="Futura Lt BT" w:cs="Futura Lt BT"/>
          <w:color w:val="auto"/>
          <w:lang w:val="es-CR"/>
        </w:rPr>
        <w:t xml:space="preserve">, </w:t>
      </w:r>
      <w:r w:rsidR="00A95790" w:rsidRPr="002E5C08">
        <w:rPr>
          <w:rFonts w:ascii="Futura Lt BT" w:eastAsia="Futura Lt BT" w:hAnsi="Futura Lt BT" w:cs="Futura Lt BT"/>
          <w:color w:val="auto"/>
          <w:lang w:val="es-CR"/>
        </w:rPr>
        <w:t xml:space="preserve">mientas que las exportaciones crecieron 0.9%. Para enero </w:t>
      </w:r>
      <w:r w:rsidR="003F6CA1" w:rsidRPr="002E5C08">
        <w:rPr>
          <w:rFonts w:ascii="Futura Lt BT" w:eastAsia="Futura Lt BT" w:hAnsi="Futura Lt BT" w:cs="Futura Lt BT"/>
          <w:color w:val="auto"/>
          <w:lang w:val="es-CR"/>
        </w:rPr>
        <w:t xml:space="preserve">de </w:t>
      </w:r>
      <w:r w:rsidR="00A95790" w:rsidRPr="002E5C08">
        <w:rPr>
          <w:rFonts w:ascii="Futura Lt BT" w:eastAsia="Futura Lt BT" w:hAnsi="Futura Lt BT" w:cs="Futura Lt BT"/>
          <w:color w:val="auto"/>
          <w:lang w:val="es-CR"/>
        </w:rPr>
        <w:t xml:space="preserve">2021 continuó la mejora en las exportaciones, particularmente de regímenes especiales. </w:t>
      </w:r>
      <w:r w:rsidR="003F6CA1" w:rsidRPr="002E5C08">
        <w:rPr>
          <w:rFonts w:ascii="Futura Lt BT" w:eastAsia="Futura Lt BT" w:hAnsi="Futura Lt BT" w:cs="Futura Lt BT"/>
          <w:color w:val="auto"/>
          <w:lang w:val="es-CR"/>
        </w:rPr>
        <w:t>El déficit de cuenta corriente no varió significativamente entre 2019 y 2020</w:t>
      </w:r>
      <w:r w:rsidR="00D71053">
        <w:rPr>
          <w:rFonts w:ascii="Futura Lt BT" w:eastAsia="Futura Lt BT" w:hAnsi="Futura Lt BT" w:cs="Futura Lt BT"/>
          <w:color w:val="auto"/>
          <w:lang w:val="es-CR"/>
        </w:rPr>
        <w:t>,</w:t>
      </w:r>
      <w:r w:rsidR="003F6CA1" w:rsidRPr="002E5C08">
        <w:rPr>
          <w:rFonts w:ascii="Futura Lt BT" w:eastAsia="Futura Lt BT" w:hAnsi="Futura Lt BT" w:cs="Futura Lt BT"/>
          <w:color w:val="auto"/>
          <w:lang w:val="es-CR"/>
        </w:rPr>
        <w:t xml:space="preserve"> porque la caída en exportaciones de servicios fue compensada por la reducción en importaciones e ingreso primario. Pero los flujos financieros llevaron a una disminución en los activos de reserva como </w:t>
      </w:r>
      <w:r w:rsidR="003F6CA1" w:rsidRPr="002E5C08">
        <w:rPr>
          <w:rFonts w:ascii="Futura Lt BT" w:eastAsia="Futura Lt BT" w:hAnsi="Futura Lt BT" w:cs="Futura Lt BT"/>
          <w:color w:val="auto"/>
          <w:lang w:val="es-CR"/>
        </w:rPr>
        <w:lastRenderedPageBreak/>
        <w:t xml:space="preserve">consecuencia de pagos de deuda externa, inversiones en activos </w:t>
      </w:r>
      <w:r w:rsidR="00415C6A" w:rsidRPr="002E5C08">
        <w:rPr>
          <w:rFonts w:ascii="Futura Lt BT" w:eastAsia="Futura Lt BT" w:hAnsi="Futura Lt BT" w:cs="Futura Lt BT"/>
          <w:color w:val="auto"/>
          <w:lang w:val="es-CR"/>
        </w:rPr>
        <w:t xml:space="preserve">del exterior por parte de las </w:t>
      </w:r>
      <w:r w:rsidR="003F6CA1" w:rsidRPr="002E5C08">
        <w:rPr>
          <w:rFonts w:ascii="Futura Lt BT" w:eastAsia="Futura Lt BT" w:hAnsi="Futura Lt BT" w:cs="Futura Lt BT"/>
          <w:color w:val="auto"/>
          <w:lang w:val="es-CR"/>
        </w:rPr>
        <w:t xml:space="preserve">operadoras de pensiones </w:t>
      </w:r>
      <w:r w:rsidR="00415C6A" w:rsidRPr="002E5C08">
        <w:rPr>
          <w:rFonts w:ascii="Futura Lt BT" w:eastAsia="Futura Lt BT" w:hAnsi="Futura Lt BT" w:cs="Futura Lt BT"/>
          <w:color w:val="auto"/>
          <w:lang w:val="es-CR"/>
        </w:rPr>
        <w:t>y la intervención que el BCCR debió hacer en el mercado cambiario. En el tema de las finanzas públicas</w:t>
      </w:r>
      <w:r w:rsidR="00D71053">
        <w:rPr>
          <w:rFonts w:ascii="Futura Lt BT" w:eastAsia="Futura Lt BT" w:hAnsi="Futura Lt BT" w:cs="Futura Lt BT"/>
          <w:color w:val="auto"/>
          <w:lang w:val="es-CR"/>
        </w:rPr>
        <w:t>, comentó que</w:t>
      </w:r>
      <w:r w:rsidR="00415C6A" w:rsidRPr="002E5C08">
        <w:rPr>
          <w:rFonts w:ascii="Futura Lt BT" w:eastAsia="Futura Lt BT" w:hAnsi="Futura Lt BT" w:cs="Futura Lt BT"/>
          <w:color w:val="auto"/>
          <w:lang w:val="es-CR"/>
        </w:rPr>
        <w:t xml:space="preserve"> el sector fiscal fue muy golpeado por la contracción económica, con una caída fuerte en los ingresos del </w:t>
      </w:r>
      <w:r w:rsidR="00AE715B">
        <w:rPr>
          <w:rFonts w:ascii="Futura Lt BT" w:eastAsia="Futura Lt BT" w:hAnsi="Futura Lt BT" w:cs="Futura Lt BT"/>
          <w:color w:val="auto"/>
          <w:lang w:val="es-CR"/>
        </w:rPr>
        <w:t>G</w:t>
      </w:r>
      <w:r w:rsidR="00415C6A" w:rsidRPr="002E5C08">
        <w:rPr>
          <w:rFonts w:ascii="Futura Lt BT" w:eastAsia="Futura Lt BT" w:hAnsi="Futura Lt BT" w:cs="Futura Lt BT"/>
          <w:color w:val="auto"/>
          <w:lang w:val="es-CR"/>
        </w:rPr>
        <w:t xml:space="preserve">obierno, de -11.2%, mitigada parcialmente por una contracción en el gasto primario; junto al aumento en gastos de atención sanitaria y </w:t>
      </w:r>
      <w:r w:rsidR="0099724A" w:rsidRPr="002E5C08">
        <w:rPr>
          <w:rFonts w:ascii="Futura Lt BT" w:eastAsia="Futura Lt BT" w:hAnsi="Futura Lt BT" w:cs="Futura Lt BT"/>
          <w:color w:val="auto"/>
          <w:lang w:val="es-CR"/>
        </w:rPr>
        <w:t xml:space="preserve">transferencias </w:t>
      </w:r>
      <w:r w:rsidR="00415C6A" w:rsidRPr="002E5C08">
        <w:rPr>
          <w:rFonts w:ascii="Futura Lt BT" w:eastAsia="Futura Lt BT" w:hAnsi="Futura Lt BT" w:cs="Futura Lt BT"/>
          <w:color w:val="auto"/>
          <w:lang w:val="es-CR"/>
        </w:rPr>
        <w:t xml:space="preserve">sociales por la pandemia, otros rubros se contrajeron fuertemente, para una caída en el gasto primario, de -5.7% en términos interanuales; pero el gasto en intereses sigue subiendo, lo que hace que el déficit primario </w:t>
      </w:r>
      <w:r w:rsidR="0099724A" w:rsidRPr="002E5C08">
        <w:rPr>
          <w:rFonts w:ascii="Futura Lt BT" w:eastAsia="Futura Lt BT" w:hAnsi="Futura Lt BT" w:cs="Futura Lt BT"/>
          <w:color w:val="auto"/>
          <w:lang w:val="es-CR"/>
        </w:rPr>
        <w:t>y el déficit financiero</w:t>
      </w:r>
      <w:r w:rsidR="00AE715B" w:rsidRPr="00AE715B">
        <w:rPr>
          <w:rFonts w:ascii="Futura Lt BT" w:eastAsia="Futura Lt BT" w:hAnsi="Futura Lt BT" w:cs="Futura Lt BT"/>
          <w:color w:val="auto"/>
          <w:lang w:val="es-CR"/>
        </w:rPr>
        <w:t xml:space="preserve"> </w:t>
      </w:r>
      <w:r w:rsidR="00AE715B" w:rsidRPr="002E5C08">
        <w:rPr>
          <w:rFonts w:ascii="Futura Lt BT" w:eastAsia="Futura Lt BT" w:hAnsi="Futura Lt BT" w:cs="Futura Lt BT"/>
          <w:color w:val="auto"/>
          <w:lang w:val="es-CR"/>
        </w:rPr>
        <w:t>sí aumente</w:t>
      </w:r>
      <w:r w:rsidR="00AE715B">
        <w:rPr>
          <w:rFonts w:ascii="Futura Lt BT" w:eastAsia="Futura Lt BT" w:hAnsi="Futura Lt BT" w:cs="Futura Lt BT"/>
          <w:color w:val="auto"/>
          <w:lang w:val="es-CR"/>
        </w:rPr>
        <w:t>n</w:t>
      </w:r>
      <w:r w:rsidR="0099724A" w:rsidRPr="002E5C08">
        <w:rPr>
          <w:rFonts w:ascii="Futura Lt BT" w:eastAsia="Futura Lt BT" w:hAnsi="Futura Lt BT" w:cs="Futura Lt BT"/>
          <w:color w:val="auto"/>
          <w:lang w:val="es-CR"/>
        </w:rPr>
        <w:t>, cerrando con un 8.1%</w:t>
      </w:r>
      <w:r w:rsidR="00E577CD">
        <w:rPr>
          <w:rFonts w:ascii="Futura Lt BT" w:eastAsia="Futura Lt BT" w:hAnsi="Futura Lt BT" w:cs="Futura Lt BT"/>
          <w:color w:val="auto"/>
          <w:lang w:val="es-CR"/>
        </w:rPr>
        <w:t xml:space="preserve"> del PIB</w:t>
      </w:r>
      <w:r w:rsidR="0099724A" w:rsidRPr="002E5C08">
        <w:rPr>
          <w:rFonts w:ascii="Futura Lt BT" w:eastAsia="Futura Lt BT" w:hAnsi="Futura Lt BT" w:cs="Futura Lt BT"/>
          <w:color w:val="auto"/>
          <w:lang w:val="es-CR"/>
        </w:rPr>
        <w:t xml:space="preserve">, </w:t>
      </w:r>
      <w:r w:rsidR="00AE715B">
        <w:rPr>
          <w:rFonts w:ascii="Futura Lt BT" w:eastAsia="Futura Lt BT" w:hAnsi="Futura Lt BT" w:cs="Futura Lt BT"/>
          <w:color w:val="auto"/>
          <w:lang w:val="es-CR"/>
        </w:rPr>
        <w:t xml:space="preserve">algo </w:t>
      </w:r>
      <w:r w:rsidR="0099724A" w:rsidRPr="002E5C08">
        <w:rPr>
          <w:rFonts w:ascii="Futura Lt BT" w:eastAsia="Futura Lt BT" w:hAnsi="Futura Lt BT" w:cs="Futura Lt BT"/>
          <w:color w:val="auto"/>
          <w:lang w:val="es-CR"/>
        </w:rPr>
        <w:t xml:space="preserve">menor al esperado inicialmente pero muy grande, el más alto desde 1982. Esto hace que la deuda siga una trayectoria creciente y </w:t>
      </w:r>
      <w:r w:rsidR="00AE715B">
        <w:rPr>
          <w:rFonts w:ascii="Futura Lt BT" w:eastAsia="Futura Lt BT" w:hAnsi="Futura Lt BT" w:cs="Futura Lt BT"/>
          <w:color w:val="auto"/>
          <w:lang w:val="es-CR"/>
        </w:rPr>
        <w:t xml:space="preserve">que </w:t>
      </w:r>
      <w:r w:rsidR="0099724A" w:rsidRPr="002E5C08">
        <w:rPr>
          <w:rFonts w:ascii="Futura Lt BT" w:eastAsia="Futura Lt BT" w:hAnsi="Futura Lt BT" w:cs="Futura Lt BT"/>
          <w:color w:val="auto"/>
          <w:lang w:val="es-CR"/>
        </w:rPr>
        <w:t xml:space="preserve">alcance el 67.5% del PIB, </w:t>
      </w:r>
      <w:r w:rsidR="00AE715B">
        <w:rPr>
          <w:rFonts w:ascii="Futura Lt BT" w:eastAsia="Futura Lt BT" w:hAnsi="Futura Lt BT" w:cs="Futura Lt BT"/>
          <w:color w:val="auto"/>
          <w:lang w:val="es-CR"/>
        </w:rPr>
        <w:t xml:space="preserve">lo que </w:t>
      </w:r>
      <w:r w:rsidR="0099724A" w:rsidRPr="002E5C08">
        <w:rPr>
          <w:rFonts w:ascii="Futura Lt BT" w:eastAsia="Futura Lt BT" w:hAnsi="Futura Lt BT" w:cs="Futura Lt BT"/>
          <w:color w:val="auto"/>
          <w:lang w:val="es-CR"/>
        </w:rPr>
        <w:t>obliga al país a hacer un esfuerzo de ajuste fiscal adicional y es lo que se está negociando con el FMI</w:t>
      </w:r>
      <w:r w:rsidR="00AE715B">
        <w:rPr>
          <w:rFonts w:ascii="Futura Lt BT" w:eastAsia="Futura Lt BT" w:hAnsi="Futura Lt BT" w:cs="Futura Lt BT"/>
          <w:color w:val="auto"/>
          <w:lang w:val="es-CR"/>
        </w:rPr>
        <w:t xml:space="preserve">, cuya </w:t>
      </w:r>
      <w:r w:rsidR="0099724A" w:rsidRPr="002E5C08">
        <w:rPr>
          <w:rFonts w:ascii="Futura Lt BT" w:eastAsia="Futura Lt BT" w:hAnsi="Futura Lt BT" w:cs="Futura Lt BT"/>
          <w:color w:val="auto"/>
          <w:lang w:val="es-CR"/>
        </w:rPr>
        <w:t xml:space="preserve">agenda de consolidación está </w:t>
      </w:r>
      <w:r w:rsidR="00AE715B">
        <w:rPr>
          <w:rFonts w:ascii="Futura Lt BT" w:eastAsia="Futura Lt BT" w:hAnsi="Futura Lt BT" w:cs="Futura Lt BT"/>
          <w:color w:val="auto"/>
          <w:lang w:val="es-CR"/>
        </w:rPr>
        <w:t xml:space="preserve">ya </w:t>
      </w:r>
      <w:r w:rsidR="0099724A" w:rsidRPr="002E5C08">
        <w:rPr>
          <w:rFonts w:ascii="Futura Lt BT" w:eastAsia="Futura Lt BT" w:hAnsi="Futura Lt BT" w:cs="Futura Lt BT"/>
          <w:color w:val="auto"/>
          <w:lang w:val="es-CR"/>
        </w:rPr>
        <w:t>en la Asamblea Legislativa.</w:t>
      </w:r>
      <w:r w:rsidR="00AE715B">
        <w:rPr>
          <w:rFonts w:ascii="Futura Lt BT" w:eastAsia="Futura Lt BT" w:hAnsi="Futura Lt BT" w:cs="Futura Lt BT"/>
          <w:color w:val="auto"/>
          <w:lang w:val="es-CR"/>
        </w:rPr>
        <w:t xml:space="preserve"> Señaló que d</w:t>
      </w:r>
      <w:r w:rsidR="0099724A" w:rsidRPr="002E5C08">
        <w:rPr>
          <w:rFonts w:ascii="Futura Lt BT" w:eastAsia="Futura Lt BT" w:hAnsi="Futura Lt BT" w:cs="Futura Lt BT"/>
          <w:color w:val="auto"/>
          <w:lang w:val="es-CR"/>
        </w:rPr>
        <w:t xml:space="preserve">urante el </w:t>
      </w:r>
      <w:r w:rsidR="00BE0B81">
        <w:rPr>
          <w:rFonts w:ascii="Futura Lt BT" w:eastAsia="Futura Lt BT" w:hAnsi="Futura Lt BT" w:cs="Futura Lt BT"/>
          <w:color w:val="auto"/>
          <w:lang w:val="es-CR"/>
        </w:rPr>
        <w:t xml:space="preserve">año </w:t>
      </w:r>
      <w:r w:rsidR="0099724A" w:rsidRPr="002E5C08">
        <w:rPr>
          <w:rFonts w:ascii="Futura Lt BT" w:eastAsia="Futura Lt BT" w:hAnsi="Futura Lt BT" w:cs="Futura Lt BT"/>
          <w:color w:val="auto"/>
          <w:lang w:val="es-CR"/>
        </w:rPr>
        <w:t>2020 y enero de 2021 la in</w:t>
      </w:r>
      <w:r w:rsidR="00D02B72" w:rsidRPr="002E5C08">
        <w:rPr>
          <w:rFonts w:ascii="Futura Lt BT" w:eastAsia="Futura Lt BT" w:hAnsi="Futura Lt BT" w:cs="Futura Lt BT"/>
          <w:color w:val="auto"/>
          <w:lang w:val="es-CR"/>
        </w:rPr>
        <w:t xml:space="preserve">flación se mantuvo por debajo del rango de tolerancia para la meta de inflación (2% a 4%). La inflación general y subyacente se ubican en 1.0% y la expectativa de inflación en 1.8%. </w:t>
      </w:r>
      <w:r w:rsidR="00AE715B">
        <w:rPr>
          <w:rFonts w:ascii="Futura Lt BT" w:eastAsia="Futura Lt BT" w:hAnsi="Futura Lt BT" w:cs="Futura Lt BT"/>
          <w:color w:val="auto"/>
          <w:lang w:val="es-CR"/>
        </w:rPr>
        <w:t>Sobre esto último i</w:t>
      </w:r>
      <w:r w:rsidR="00D02B72" w:rsidRPr="002E5C08">
        <w:rPr>
          <w:rFonts w:ascii="Futura Lt BT" w:eastAsia="Futura Lt BT" w:hAnsi="Futura Lt BT" w:cs="Futura Lt BT"/>
          <w:color w:val="auto"/>
          <w:lang w:val="es-CR"/>
        </w:rPr>
        <w:t xml:space="preserve">nformó que el BCCR cambió </w:t>
      </w:r>
      <w:r w:rsidR="00077D3B">
        <w:rPr>
          <w:rFonts w:ascii="Futura Lt BT" w:eastAsia="Futura Lt BT" w:hAnsi="Futura Lt BT" w:cs="Futura Lt BT"/>
          <w:color w:val="auto"/>
          <w:lang w:val="es-CR"/>
        </w:rPr>
        <w:t xml:space="preserve">la metodología para medir </w:t>
      </w:r>
      <w:r w:rsidR="00D02B72" w:rsidRPr="002E5C08">
        <w:rPr>
          <w:rFonts w:ascii="Futura Lt BT" w:eastAsia="Futura Lt BT" w:hAnsi="Futura Lt BT" w:cs="Futura Lt BT"/>
          <w:color w:val="auto"/>
          <w:lang w:val="es-CR"/>
        </w:rPr>
        <w:t>las expectativas basadas en encuestas</w:t>
      </w:r>
      <w:r w:rsidR="00077D3B">
        <w:rPr>
          <w:rFonts w:ascii="Futura Lt BT" w:eastAsia="Futura Lt BT" w:hAnsi="Futura Lt BT" w:cs="Futura Lt BT"/>
          <w:color w:val="auto"/>
          <w:lang w:val="es-CR"/>
        </w:rPr>
        <w:t xml:space="preserve"> </w:t>
      </w:r>
      <w:r w:rsidR="00D02B72" w:rsidRPr="002E5C08">
        <w:rPr>
          <w:rFonts w:ascii="Futura Lt BT" w:eastAsia="Futura Lt BT" w:hAnsi="Futura Lt BT" w:cs="Futura Lt BT"/>
          <w:color w:val="auto"/>
          <w:lang w:val="es-CR"/>
        </w:rPr>
        <w:t>a</w:t>
      </w:r>
      <w:r w:rsidR="00077D3B">
        <w:rPr>
          <w:rFonts w:ascii="Futura Lt BT" w:eastAsia="Futura Lt BT" w:hAnsi="Futura Lt BT" w:cs="Futura Lt BT"/>
          <w:color w:val="auto"/>
          <w:lang w:val="es-CR"/>
        </w:rPr>
        <w:t xml:space="preserve"> una</w:t>
      </w:r>
      <w:r w:rsidR="00D02B72" w:rsidRPr="002E5C08">
        <w:rPr>
          <w:rFonts w:ascii="Futura Lt BT" w:eastAsia="Futura Lt BT" w:hAnsi="Futura Lt BT" w:cs="Futura Lt BT"/>
          <w:color w:val="auto"/>
          <w:lang w:val="es-CR"/>
        </w:rPr>
        <w:t xml:space="preserve"> basada en </w:t>
      </w:r>
      <w:r w:rsidR="00077D3B">
        <w:rPr>
          <w:rFonts w:ascii="Futura Lt BT" w:eastAsia="Futura Lt BT" w:hAnsi="Futura Lt BT" w:cs="Futura Lt BT"/>
          <w:color w:val="auto"/>
          <w:lang w:val="es-CR"/>
        </w:rPr>
        <w:t xml:space="preserve">indicadores implícitos de </w:t>
      </w:r>
      <w:r w:rsidR="00D02B72" w:rsidRPr="002E5C08">
        <w:rPr>
          <w:rFonts w:ascii="Futura Lt BT" w:eastAsia="Futura Lt BT" w:hAnsi="Futura Lt BT" w:cs="Futura Lt BT"/>
          <w:color w:val="auto"/>
          <w:lang w:val="es-CR"/>
        </w:rPr>
        <w:t xml:space="preserve">mercado. Este panorama ha permitido una política monetaria muy expansiva y </w:t>
      </w:r>
      <w:proofErr w:type="spellStart"/>
      <w:r w:rsidR="00D02B72" w:rsidRPr="002E5C08">
        <w:rPr>
          <w:rFonts w:ascii="Futura Lt BT" w:eastAsia="Futura Lt BT" w:hAnsi="Futura Lt BT" w:cs="Futura Lt BT"/>
          <w:color w:val="auto"/>
          <w:lang w:val="es-CR"/>
        </w:rPr>
        <w:t>contracíclica</w:t>
      </w:r>
      <w:proofErr w:type="spellEnd"/>
      <w:r w:rsidR="00AE715B">
        <w:rPr>
          <w:rFonts w:ascii="Futura Lt BT" w:eastAsia="Futura Lt BT" w:hAnsi="Futura Lt BT" w:cs="Futura Lt BT"/>
          <w:color w:val="auto"/>
          <w:lang w:val="es-CR"/>
        </w:rPr>
        <w:t>:</w:t>
      </w:r>
      <w:r w:rsidR="00D02B72" w:rsidRPr="002E5C08">
        <w:rPr>
          <w:rFonts w:ascii="Futura Lt BT" w:eastAsia="Futura Lt BT" w:hAnsi="Futura Lt BT" w:cs="Futura Lt BT"/>
          <w:color w:val="auto"/>
          <w:lang w:val="es-CR"/>
        </w:rPr>
        <w:t xml:space="preserve"> el banco central redu</w:t>
      </w:r>
      <w:r w:rsidR="00AE715B">
        <w:rPr>
          <w:rFonts w:ascii="Futura Lt BT" w:eastAsia="Futura Lt BT" w:hAnsi="Futura Lt BT" w:cs="Futura Lt BT"/>
          <w:color w:val="auto"/>
          <w:lang w:val="es-CR"/>
        </w:rPr>
        <w:t>jo</w:t>
      </w:r>
      <w:r w:rsidR="00D02B72" w:rsidRPr="002E5C08">
        <w:rPr>
          <w:rFonts w:ascii="Futura Lt BT" w:eastAsia="Futura Lt BT" w:hAnsi="Futura Lt BT" w:cs="Futura Lt BT"/>
          <w:color w:val="auto"/>
          <w:lang w:val="es-CR"/>
        </w:rPr>
        <w:t xml:space="preserve"> las tasas de interés de política monetaria desde 5.25% a 0.75%, su mínimo histórico, y eso ha ayudado </w:t>
      </w:r>
      <w:r w:rsidR="00AE715B">
        <w:rPr>
          <w:rFonts w:ascii="Futura Lt BT" w:eastAsia="Futura Lt BT" w:hAnsi="Futura Lt BT" w:cs="Futura Lt BT"/>
          <w:color w:val="auto"/>
          <w:lang w:val="es-CR"/>
        </w:rPr>
        <w:t xml:space="preserve">a </w:t>
      </w:r>
      <w:r w:rsidR="00D02B72" w:rsidRPr="002E5C08">
        <w:rPr>
          <w:rFonts w:ascii="Futura Lt BT" w:eastAsia="Futura Lt BT" w:hAnsi="Futura Lt BT" w:cs="Futura Lt BT"/>
          <w:color w:val="auto"/>
          <w:lang w:val="es-CR"/>
        </w:rPr>
        <w:t xml:space="preserve">que caigan fuertemente las tasas de depósitos y las </w:t>
      </w:r>
      <w:r w:rsidR="00A15C2E" w:rsidRPr="002E5C08">
        <w:rPr>
          <w:rFonts w:ascii="Futura Lt BT" w:eastAsia="Futura Lt BT" w:hAnsi="Futura Lt BT" w:cs="Futura Lt BT"/>
          <w:color w:val="auto"/>
          <w:lang w:val="es-CR"/>
        </w:rPr>
        <w:t xml:space="preserve">tasas activas. </w:t>
      </w:r>
      <w:r w:rsidR="00AE715B">
        <w:rPr>
          <w:rFonts w:ascii="Futura Lt BT" w:eastAsia="Futura Lt BT" w:hAnsi="Futura Lt BT" w:cs="Futura Lt BT"/>
          <w:color w:val="auto"/>
          <w:lang w:val="es-CR"/>
        </w:rPr>
        <w:t>En cuanto a l</w:t>
      </w:r>
      <w:r w:rsidR="00A15C2E" w:rsidRPr="002E5C08">
        <w:rPr>
          <w:rFonts w:ascii="Futura Lt BT" w:eastAsia="Futura Lt BT" w:hAnsi="Futura Lt BT" w:cs="Futura Lt BT"/>
          <w:color w:val="auto"/>
          <w:lang w:val="es-CR"/>
        </w:rPr>
        <w:t>a liquidez</w:t>
      </w:r>
      <w:r w:rsidR="00AE715B">
        <w:rPr>
          <w:rFonts w:ascii="Futura Lt BT" w:eastAsia="Futura Lt BT" w:hAnsi="Futura Lt BT" w:cs="Futura Lt BT"/>
          <w:color w:val="auto"/>
          <w:lang w:val="es-CR"/>
        </w:rPr>
        <w:t xml:space="preserve">, se </w:t>
      </w:r>
      <w:r w:rsidR="00A15C2E" w:rsidRPr="002E5C08">
        <w:rPr>
          <w:rFonts w:ascii="Futura Lt BT" w:eastAsia="Futura Lt BT" w:hAnsi="Futura Lt BT" w:cs="Futura Lt BT"/>
          <w:color w:val="auto"/>
          <w:lang w:val="es-CR"/>
        </w:rPr>
        <w:t xml:space="preserve">mostró una clara concentración en instrumentos altamente líquidos, </w:t>
      </w:r>
      <w:r w:rsidR="00AE715B">
        <w:rPr>
          <w:rFonts w:ascii="Futura Lt BT" w:eastAsia="Futura Lt BT" w:hAnsi="Futura Lt BT" w:cs="Futura Lt BT"/>
          <w:color w:val="auto"/>
          <w:lang w:val="es-CR"/>
        </w:rPr>
        <w:t xml:space="preserve">que es un </w:t>
      </w:r>
      <w:r w:rsidR="00A15C2E" w:rsidRPr="002E5C08">
        <w:rPr>
          <w:rFonts w:ascii="Futura Lt BT" w:eastAsia="Futura Lt BT" w:hAnsi="Futura Lt BT" w:cs="Futura Lt BT"/>
          <w:color w:val="auto"/>
          <w:lang w:val="es-CR"/>
        </w:rPr>
        <w:t>comportamiento asociado con las bajas tasas de interés y la incertidumbre causada por la pandemia. El crédito al sector privado continúa estancado</w:t>
      </w:r>
      <w:r w:rsidR="00021337" w:rsidRPr="002E5C08">
        <w:rPr>
          <w:rFonts w:ascii="Futura Lt BT" w:eastAsia="Futura Lt BT" w:hAnsi="Futura Lt BT" w:cs="Futura Lt BT"/>
          <w:color w:val="auto"/>
          <w:lang w:val="es-CR"/>
        </w:rPr>
        <w:t xml:space="preserve"> en 2020</w:t>
      </w:r>
      <w:r w:rsidR="00A15C2E" w:rsidRPr="002E5C08">
        <w:rPr>
          <w:rFonts w:ascii="Futura Lt BT" w:eastAsia="Futura Lt BT" w:hAnsi="Futura Lt BT" w:cs="Futura Lt BT"/>
          <w:color w:val="auto"/>
          <w:lang w:val="es-CR"/>
        </w:rPr>
        <w:t xml:space="preserve">. Los </w:t>
      </w:r>
      <w:r w:rsidR="00021337" w:rsidRPr="002E5C08">
        <w:rPr>
          <w:rFonts w:ascii="Futura Lt BT" w:eastAsia="Futura Lt BT" w:hAnsi="Futura Lt BT" w:cs="Futura Lt BT"/>
          <w:color w:val="auto"/>
          <w:lang w:val="es-CR"/>
        </w:rPr>
        <w:t xml:space="preserve">agentes económicos mantuvieron su preferencia por los préstamos en colones. Hubo cierta presión en el tipo de cambio en el primer trimestre, primero como consecuencia de la caída de divisas, y a fin de año por la incertidumbre sobre la situación fiscal y </w:t>
      </w:r>
      <w:r w:rsidR="00AE715B">
        <w:rPr>
          <w:rFonts w:ascii="Futura Lt BT" w:eastAsia="Futura Lt BT" w:hAnsi="Futura Lt BT" w:cs="Futura Lt BT"/>
          <w:color w:val="auto"/>
          <w:lang w:val="es-CR"/>
        </w:rPr>
        <w:t xml:space="preserve">sobre </w:t>
      </w:r>
      <w:r w:rsidR="00021337" w:rsidRPr="002E5C08">
        <w:rPr>
          <w:rFonts w:ascii="Futura Lt BT" w:eastAsia="Futura Lt BT" w:hAnsi="Futura Lt BT" w:cs="Futura Lt BT"/>
          <w:color w:val="auto"/>
          <w:lang w:val="es-CR"/>
        </w:rPr>
        <w:t xml:space="preserve">el acuerdo con el FMI, lo que obligó al banco central a intervenir con venta de divisas; luego del acuerdo con el FMI, el mercado cambiario se estabilizó. </w:t>
      </w:r>
    </w:p>
    <w:p w14:paraId="48F05DCA" w14:textId="6A20DE61" w:rsidR="00021337" w:rsidRPr="00AE715B" w:rsidRDefault="00021337" w:rsidP="00F2576C">
      <w:pPr>
        <w:pStyle w:val="Body"/>
        <w:spacing w:before="120" w:after="240" w:line="240" w:lineRule="auto"/>
        <w:ind w:firstLine="709"/>
        <w:jc w:val="both"/>
        <w:rPr>
          <w:rFonts w:ascii="Futura Lt BT" w:eastAsia="Futura Lt BT" w:hAnsi="Futura Lt BT" w:cs="Futura Lt BT"/>
          <w:color w:val="auto"/>
          <w:lang w:val="es-CR"/>
        </w:rPr>
      </w:pPr>
      <w:r w:rsidRPr="00AE715B">
        <w:rPr>
          <w:rFonts w:ascii="Futura Lt BT" w:eastAsia="Futura Lt BT" w:hAnsi="Futura Lt BT" w:cs="Futura Lt BT"/>
          <w:color w:val="auto"/>
          <w:lang w:val="es-CR"/>
        </w:rPr>
        <w:t xml:space="preserve">En </w:t>
      </w:r>
      <w:r w:rsidR="00AE715B">
        <w:rPr>
          <w:rFonts w:ascii="Futura Lt BT" w:eastAsia="Futura Lt BT" w:hAnsi="Futura Lt BT" w:cs="Futura Lt BT"/>
          <w:color w:val="auto"/>
          <w:lang w:val="es-CR"/>
        </w:rPr>
        <w:t>cuanto</w:t>
      </w:r>
      <w:r w:rsidRPr="00AE715B">
        <w:rPr>
          <w:rFonts w:ascii="Futura Lt BT" w:eastAsia="Futura Lt BT" w:hAnsi="Futura Lt BT" w:cs="Futura Lt BT"/>
          <w:color w:val="auto"/>
          <w:lang w:val="es-CR"/>
        </w:rPr>
        <w:t xml:space="preserve"> de perspectivas, </w:t>
      </w:r>
      <w:r w:rsidR="00AE715B">
        <w:rPr>
          <w:rFonts w:ascii="Futura Lt BT" w:eastAsia="Futura Lt BT" w:hAnsi="Futura Lt BT" w:cs="Futura Lt BT"/>
          <w:color w:val="auto"/>
          <w:lang w:val="es-CR"/>
        </w:rPr>
        <w:t xml:space="preserve">indicó que </w:t>
      </w:r>
      <w:r w:rsidRPr="00AE715B">
        <w:rPr>
          <w:rFonts w:ascii="Futura Lt BT" w:eastAsia="Futura Lt BT" w:hAnsi="Futura Lt BT" w:cs="Futura Lt BT"/>
          <w:color w:val="auto"/>
          <w:lang w:val="es-CR"/>
        </w:rPr>
        <w:t>se espera que los socios comerciales crezcan en un 4.4% a partir de 2021, con inflación contenida</w:t>
      </w:r>
      <w:r w:rsidR="00AE715B">
        <w:rPr>
          <w:rFonts w:ascii="Futura Lt BT" w:eastAsia="Futura Lt BT" w:hAnsi="Futura Lt BT" w:cs="Futura Lt BT"/>
          <w:color w:val="auto"/>
          <w:lang w:val="es-CR"/>
        </w:rPr>
        <w:t>, y que l</w:t>
      </w:r>
      <w:r w:rsidRPr="00AE715B">
        <w:rPr>
          <w:rFonts w:ascii="Futura Lt BT" w:eastAsia="Futura Lt BT" w:hAnsi="Futura Lt BT" w:cs="Futura Lt BT"/>
          <w:color w:val="auto"/>
          <w:lang w:val="es-CR"/>
        </w:rPr>
        <w:t>as implicaciones del entorno externo se transmit</w:t>
      </w:r>
      <w:r w:rsidR="00AE715B">
        <w:rPr>
          <w:rFonts w:ascii="Futura Lt BT" w:eastAsia="Futura Lt BT" w:hAnsi="Futura Lt BT" w:cs="Futura Lt BT"/>
          <w:color w:val="auto"/>
          <w:lang w:val="es-CR"/>
        </w:rPr>
        <w:t>a</w:t>
      </w:r>
      <w:r w:rsidRPr="00AE715B">
        <w:rPr>
          <w:rFonts w:ascii="Futura Lt BT" w:eastAsia="Futura Lt BT" w:hAnsi="Futura Lt BT" w:cs="Futura Lt BT"/>
          <w:color w:val="auto"/>
          <w:lang w:val="es-CR"/>
        </w:rPr>
        <w:t xml:space="preserve">n a lo local por varias vías: demanda externa, términos de intercambio, inflación importada </w:t>
      </w:r>
      <w:r w:rsidR="00AE715B">
        <w:rPr>
          <w:rFonts w:ascii="Futura Lt BT" w:eastAsia="Futura Lt BT" w:hAnsi="Futura Lt BT" w:cs="Futura Lt BT"/>
          <w:color w:val="auto"/>
          <w:lang w:val="es-CR"/>
        </w:rPr>
        <w:t>y</w:t>
      </w:r>
      <w:r w:rsidRPr="00AE715B">
        <w:rPr>
          <w:rFonts w:ascii="Futura Lt BT" w:eastAsia="Futura Lt BT" w:hAnsi="Futura Lt BT" w:cs="Futura Lt BT"/>
          <w:color w:val="auto"/>
          <w:lang w:val="es-CR"/>
        </w:rPr>
        <w:t xml:space="preserve"> condiciones financieras internacionales. </w:t>
      </w:r>
      <w:r w:rsidR="00AE715B">
        <w:rPr>
          <w:rFonts w:ascii="Futura Lt BT" w:eastAsia="Futura Lt BT" w:hAnsi="Futura Lt BT" w:cs="Futura Lt BT"/>
          <w:color w:val="auto"/>
          <w:lang w:val="es-CR"/>
        </w:rPr>
        <w:t>S</w:t>
      </w:r>
      <w:r w:rsidRPr="00AE715B">
        <w:rPr>
          <w:rFonts w:ascii="Futura Lt BT" w:eastAsia="Futura Lt BT" w:hAnsi="Futura Lt BT" w:cs="Futura Lt BT"/>
          <w:color w:val="auto"/>
          <w:lang w:val="es-CR"/>
        </w:rPr>
        <w:t xml:space="preserve">e proyecta un crecimiento de 2.6% para 2021, y de 3.6% para 2022; </w:t>
      </w:r>
      <w:r w:rsidR="00726EFE" w:rsidRPr="00AE715B">
        <w:rPr>
          <w:rFonts w:ascii="Futura Lt BT" w:eastAsia="Futura Lt BT" w:hAnsi="Futura Lt BT" w:cs="Futura Lt BT"/>
          <w:color w:val="auto"/>
          <w:lang w:val="es-CR"/>
        </w:rPr>
        <w:t xml:space="preserve">con crecimiento </w:t>
      </w:r>
      <w:r w:rsidRPr="00AE715B">
        <w:rPr>
          <w:rFonts w:ascii="Futura Lt BT" w:eastAsia="Futura Lt BT" w:hAnsi="Futura Lt BT" w:cs="Futura Lt BT"/>
          <w:color w:val="auto"/>
          <w:lang w:val="es-CR"/>
        </w:rPr>
        <w:t xml:space="preserve">en todos los segmentos </w:t>
      </w:r>
      <w:r w:rsidR="00726EFE" w:rsidRPr="00AE715B">
        <w:rPr>
          <w:rFonts w:ascii="Futura Lt BT" w:eastAsia="Futura Lt BT" w:hAnsi="Futura Lt BT" w:cs="Futura Lt BT"/>
          <w:color w:val="auto"/>
          <w:lang w:val="es-CR"/>
        </w:rPr>
        <w:t>d</w:t>
      </w:r>
      <w:r w:rsidR="00AE715B">
        <w:rPr>
          <w:rFonts w:ascii="Futura Lt BT" w:eastAsia="Futura Lt BT" w:hAnsi="Futura Lt BT" w:cs="Futura Lt BT"/>
          <w:color w:val="auto"/>
          <w:lang w:val="es-CR"/>
        </w:rPr>
        <w:t>el</w:t>
      </w:r>
      <w:r w:rsidR="00726EFE" w:rsidRPr="00AE715B">
        <w:rPr>
          <w:rFonts w:ascii="Futura Lt BT" w:eastAsia="Futura Lt BT" w:hAnsi="Futura Lt BT" w:cs="Futura Lt BT"/>
          <w:color w:val="auto"/>
          <w:lang w:val="es-CR"/>
        </w:rPr>
        <w:t xml:space="preserve"> gasto </w:t>
      </w:r>
      <w:r w:rsidRPr="00AE715B">
        <w:rPr>
          <w:rFonts w:ascii="Futura Lt BT" w:eastAsia="Futura Lt BT" w:hAnsi="Futura Lt BT" w:cs="Futura Lt BT"/>
          <w:color w:val="auto"/>
          <w:lang w:val="es-CR"/>
        </w:rPr>
        <w:t xml:space="preserve">salvo en el </w:t>
      </w:r>
      <w:r w:rsidR="00726EFE" w:rsidRPr="00AE715B">
        <w:rPr>
          <w:rFonts w:ascii="Futura Lt BT" w:eastAsia="Futura Lt BT" w:hAnsi="Futura Lt BT" w:cs="Futura Lt BT"/>
          <w:color w:val="auto"/>
          <w:lang w:val="es-CR"/>
        </w:rPr>
        <w:t xml:space="preserve">consumo del </w:t>
      </w:r>
      <w:r w:rsidR="00AE715B">
        <w:rPr>
          <w:rFonts w:ascii="Futura Lt BT" w:eastAsia="Futura Lt BT" w:hAnsi="Futura Lt BT" w:cs="Futura Lt BT"/>
          <w:color w:val="auto"/>
          <w:lang w:val="es-CR"/>
        </w:rPr>
        <w:t>G</w:t>
      </w:r>
      <w:r w:rsidR="00726EFE" w:rsidRPr="00AE715B">
        <w:rPr>
          <w:rFonts w:ascii="Futura Lt BT" w:eastAsia="Futura Lt BT" w:hAnsi="Futura Lt BT" w:cs="Futura Lt BT"/>
          <w:color w:val="auto"/>
          <w:lang w:val="es-CR"/>
        </w:rPr>
        <w:t xml:space="preserve">obierno, como consecuencia del proceso de ajuste fiscal. </w:t>
      </w:r>
      <w:r w:rsidR="00AE715B">
        <w:rPr>
          <w:rFonts w:ascii="Futura Lt BT" w:eastAsia="Futura Lt BT" w:hAnsi="Futura Lt BT" w:cs="Futura Lt BT"/>
          <w:color w:val="auto"/>
          <w:lang w:val="es-CR"/>
        </w:rPr>
        <w:t>Comentó que e</w:t>
      </w:r>
      <w:r w:rsidR="00726EFE" w:rsidRPr="00AE715B">
        <w:rPr>
          <w:rFonts w:ascii="Futura Lt BT" w:eastAsia="Futura Lt BT" w:hAnsi="Futura Lt BT" w:cs="Futura Lt BT"/>
          <w:color w:val="auto"/>
          <w:lang w:val="es-CR"/>
        </w:rPr>
        <w:t xml:space="preserve">l ahorro financiero mantiene el comportamiento respecto al PIB y la demanda de crédito al sector privado vuelve a repuntar después del estancamiento observado en 2019 y 2020. Por actividad económica, el crecimiento estaría liderado por la manufactura y los servicios empresariales, pero con recuperación generalizada en el resto de las actividades. Los activos de inversión extranjera directa se recuperarían también en 2021 y 2022 y las reservas del banco central, sobre todo como consecuencia del crédito del FMI. El déficit del </w:t>
      </w:r>
      <w:r w:rsidR="00AE715B">
        <w:rPr>
          <w:rFonts w:ascii="Futura Lt BT" w:eastAsia="Futura Lt BT" w:hAnsi="Futura Lt BT" w:cs="Futura Lt BT"/>
          <w:color w:val="auto"/>
          <w:lang w:val="es-CR"/>
        </w:rPr>
        <w:t>G</w:t>
      </w:r>
      <w:r w:rsidR="00726EFE" w:rsidRPr="00AE715B">
        <w:rPr>
          <w:rFonts w:ascii="Futura Lt BT" w:eastAsia="Futura Lt BT" w:hAnsi="Futura Lt BT" w:cs="Futura Lt BT"/>
          <w:color w:val="auto"/>
          <w:lang w:val="es-CR"/>
        </w:rPr>
        <w:t>obierno caería tanto en términos primarios como en términos del déficit total; la deuda alcanzaría un máximo de 76% del PIB en 2023 y luego comenzaría a caer. Entre los riesgos identificados están el retorno a medidas de contención por aumento en la tasa de propagación del COVID-19, la dificultad de alcanzar acuerdos legislativos para el ajuste fiscal, riesgos de estabilidad del sistema financiero, tensiones sociales y choques de oferta de origen interno no anticipados.</w:t>
      </w:r>
      <w:r w:rsidR="00BC4D60" w:rsidRPr="00AE715B">
        <w:rPr>
          <w:rFonts w:ascii="Futura Lt BT" w:eastAsia="Futura Lt BT" w:hAnsi="Futura Lt BT" w:cs="Futura Lt BT"/>
          <w:color w:val="auto"/>
          <w:lang w:val="es-CR"/>
        </w:rPr>
        <w:t xml:space="preserve"> </w:t>
      </w:r>
      <w:r w:rsidR="00AE715B" w:rsidRPr="00AE715B">
        <w:rPr>
          <w:rFonts w:ascii="Futura Lt BT" w:eastAsia="Futura Lt BT" w:hAnsi="Futura Lt BT" w:cs="Futura Lt BT"/>
          <w:color w:val="auto"/>
          <w:lang w:val="es-CR"/>
        </w:rPr>
        <w:t>Finalmente</w:t>
      </w:r>
      <w:r w:rsidR="00AE715B">
        <w:rPr>
          <w:rFonts w:ascii="Futura Lt BT" w:eastAsia="Futura Lt BT" w:hAnsi="Futura Lt BT" w:cs="Futura Lt BT"/>
          <w:color w:val="auto"/>
          <w:lang w:val="es-CR"/>
        </w:rPr>
        <w:t>,</w:t>
      </w:r>
      <w:r w:rsidR="00AE715B" w:rsidRPr="00AE715B">
        <w:rPr>
          <w:rFonts w:ascii="Futura Lt BT" w:eastAsia="Futura Lt BT" w:hAnsi="Futura Lt BT" w:cs="Futura Lt BT"/>
          <w:color w:val="auto"/>
          <w:lang w:val="es-CR"/>
        </w:rPr>
        <w:t xml:space="preserve"> indicó que e</w:t>
      </w:r>
      <w:r w:rsidR="00BC4D60" w:rsidRPr="00AE715B">
        <w:rPr>
          <w:rFonts w:ascii="Futura Lt BT" w:eastAsia="Futura Lt BT" w:hAnsi="Futura Lt BT" w:cs="Futura Lt BT"/>
          <w:color w:val="auto"/>
          <w:lang w:val="es-CR"/>
        </w:rPr>
        <w:t>l BCCR reitera su compromiso con una inflación baja y estable</w:t>
      </w:r>
      <w:r w:rsidR="00AE715B">
        <w:rPr>
          <w:rFonts w:ascii="Futura Lt BT" w:eastAsia="Futura Lt BT" w:hAnsi="Futura Lt BT" w:cs="Futura Lt BT"/>
          <w:color w:val="auto"/>
          <w:lang w:val="es-CR"/>
        </w:rPr>
        <w:t xml:space="preserve">; </w:t>
      </w:r>
      <w:r w:rsidR="00BC4D60" w:rsidRPr="00AE715B">
        <w:rPr>
          <w:rFonts w:ascii="Futura Lt BT" w:eastAsia="Futura Lt BT" w:hAnsi="Futura Lt BT" w:cs="Futura Lt BT"/>
          <w:color w:val="auto"/>
          <w:lang w:val="es-CR"/>
        </w:rPr>
        <w:t xml:space="preserve">se sigue teniendo una proyección de inflación por debajo del rango meta; </w:t>
      </w:r>
      <w:r w:rsidR="00AE715B">
        <w:rPr>
          <w:rFonts w:ascii="Futura Lt BT" w:eastAsia="Futura Lt BT" w:hAnsi="Futura Lt BT" w:cs="Futura Lt BT"/>
          <w:color w:val="auto"/>
          <w:lang w:val="es-CR"/>
        </w:rPr>
        <w:t xml:space="preserve">asimismo, </w:t>
      </w:r>
      <w:r w:rsidR="00BC4D60" w:rsidRPr="00AE715B">
        <w:rPr>
          <w:rFonts w:ascii="Futura Lt BT" w:eastAsia="Futura Lt BT" w:hAnsi="Futura Lt BT" w:cs="Futura Lt BT"/>
          <w:color w:val="auto"/>
          <w:lang w:val="es-CR"/>
        </w:rPr>
        <w:t xml:space="preserve">el banco mantendrá una política monetaria expansiva y </w:t>
      </w:r>
      <w:proofErr w:type="spellStart"/>
      <w:r w:rsidR="00BC4D60" w:rsidRPr="00AE715B">
        <w:rPr>
          <w:rFonts w:ascii="Futura Lt BT" w:eastAsia="Futura Lt BT" w:hAnsi="Futura Lt BT" w:cs="Futura Lt BT"/>
          <w:color w:val="auto"/>
          <w:lang w:val="es-CR"/>
        </w:rPr>
        <w:t>contracíclica</w:t>
      </w:r>
      <w:proofErr w:type="spellEnd"/>
      <w:r w:rsidR="00BC4D60" w:rsidRPr="00AE715B">
        <w:rPr>
          <w:rFonts w:ascii="Futura Lt BT" w:eastAsia="Futura Lt BT" w:hAnsi="Futura Lt BT" w:cs="Futura Lt BT"/>
          <w:color w:val="auto"/>
          <w:lang w:val="es-CR"/>
        </w:rPr>
        <w:t xml:space="preserve">, manteniendo </w:t>
      </w:r>
      <w:r w:rsidR="00AE715B">
        <w:rPr>
          <w:rFonts w:ascii="Futura Lt BT" w:eastAsia="Futura Lt BT" w:hAnsi="Futura Lt BT" w:cs="Futura Lt BT"/>
          <w:color w:val="auto"/>
          <w:lang w:val="es-CR"/>
        </w:rPr>
        <w:t xml:space="preserve">baja </w:t>
      </w:r>
      <w:r w:rsidR="00BC4D60" w:rsidRPr="00AE715B">
        <w:rPr>
          <w:rFonts w:ascii="Futura Lt BT" w:eastAsia="Futura Lt BT" w:hAnsi="Futura Lt BT" w:cs="Futura Lt BT"/>
          <w:color w:val="auto"/>
          <w:lang w:val="es-CR"/>
        </w:rPr>
        <w:t xml:space="preserve">la tasa de política monetaria y, adicionalmente, mejorando la comunicación con el </w:t>
      </w:r>
      <w:r w:rsidR="00C41B0A" w:rsidRPr="00AE715B">
        <w:rPr>
          <w:rFonts w:ascii="Futura Lt BT" w:eastAsia="Futura Lt BT" w:hAnsi="Futura Lt BT" w:cs="Futura Lt BT"/>
          <w:color w:val="auto"/>
          <w:lang w:val="es-CR"/>
        </w:rPr>
        <w:t xml:space="preserve">público para apoyar la transmisión de las decisiones y formación de expectativas, participando en el mercado cambiario cuando proceda, inyectando liquidez a los mercados financieros y coordinando con los supervisores para apoyar la recuperación y </w:t>
      </w:r>
      <w:r w:rsidR="005F763C" w:rsidRPr="00AE715B">
        <w:rPr>
          <w:rFonts w:ascii="Futura Lt BT" w:eastAsia="Futura Lt BT" w:hAnsi="Futura Lt BT" w:cs="Futura Lt BT"/>
          <w:color w:val="auto"/>
          <w:lang w:val="es-CR"/>
        </w:rPr>
        <w:t xml:space="preserve">la </w:t>
      </w:r>
      <w:r w:rsidR="00C41B0A" w:rsidRPr="00AE715B">
        <w:rPr>
          <w:rFonts w:ascii="Futura Lt BT" w:eastAsia="Futura Lt BT" w:hAnsi="Futura Lt BT" w:cs="Futura Lt BT"/>
          <w:color w:val="auto"/>
          <w:lang w:val="es-CR"/>
        </w:rPr>
        <w:t xml:space="preserve">estabilidad. </w:t>
      </w:r>
    </w:p>
    <w:p w14:paraId="7096B7FE" w14:textId="74FFABB7" w:rsidR="00944DCB" w:rsidRPr="005F35B4" w:rsidRDefault="0002765D" w:rsidP="005F35B4">
      <w:pPr>
        <w:pStyle w:val="Body"/>
        <w:spacing w:before="120" w:after="240" w:line="240" w:lineRule="auto"/>
        <w:ind w:firstLine="709"/>
        <w:jc w:val="both"/>
        <w:rPr>
          <w:rFonts w:ascii="Futura Lt BT" w:eastAsia="Futura Lt BT" w:hAnsi="Futura Lt BT" w:cs="Futura Lt BT"/>
          <w:color w:val="auto"/>
          <w:lang w:val="es-CR"/>
        </w:rPr>
      </w:pPr>
      <w:r w:rsidRPr="00841D00">
        <w:rPr>
          <w:rFonts w:ascii="Futura Lt BT" w:eastAsia="Futura Lt BT" w:hAnsi="Futura Lt BT" w:cs="Futura Lt BT"/>
          <w:color w:val="auto"/>
          <w:lang w:val="es-CR"/>
        </w:rPr>
        <w:lastRenderedPageBreak/>
        <w:t xml:space="preserve">Por parte del Banco Central de Honduras, el señor Wilfredo Cerrato informó que </w:t>
      </w:r>
      <w:r w:rsidR="00A2081D" w:rsidRPr="00841D00">
        <w:rPr>
          <w:rFonts w:ascii="Futura Lt BT" w:eastAsia="Futura Lt BT" w:hAnsi="Futura Lt BT" w:cs="Futura Lt BT"/>
          <w:color w:val="auto"/>
          <w:lang w:val="es-CR"/>
        </w:rPr>
        <w:t>en diciembre se observó una contracción de 8.5%</w:t>
      </w:r>
      <w:r w:rsidR="00BB6880">
        <w:rPr>
          <w:rFonts w:ascii="Futura Lt BT" w:eastAsia="Futura Lt BT" w:hAnsi="Futura Lt BT" w:cs="Futura Lt BT"/>
          <w:color w:val="auto"/>
          <w:lang w:val="es-CR"/>
        </w:rPr>
        <w:t xml:space="preserve"> con datos del IMAE</w:t>
      </w:r>
      <w:r w:rsidR="00A2081D" w:rsidRPr="00841D00">
        <w:rPr>
          <w:rFonts w:ascii="Futura Lt BT" w:eastAsia="Futura Lt BT" w:hAnsi="Futura Lt BT" w:cs="Futura Lt BT"/>
          <w:color w:val="auto"/>
          <w:lang w:val="es-CR"/>
        </w:rPr>
        <w:t>, evidenciando los efectos de la pandemia y las p</w:t>
      </w:r>
      <w:r w:rsidR="00841D00">
        <w:rPr>
          <w:rFonts w:ascii="Futura Lt BT" w:eastAsia="Futura Lt BT" w:hAnsi="Futura Lt BT" w:cs="Futura Lt BT"/>
          <w:color w:val="auto"/>
          <w:lang w:val="es-CR"/>
        </w:rPr>
        <w:t>é</w:t>
      </w:r>
      <w:r w:rsidR="00A2081D" w:rsidRPr="00841D00">
        <w:rPr>
          <w:rFonts w:ascii="Futura Lt BT" w:eastAsia="Futura Lt BT" w:hAnsi="Futura Lt BT" w:cs="Futura Lt BT"/>
          <w:color w:val="auto"/>
          <w:lang w:val="es-CR"/>
        </w:rPr>
        <w:t>rdidas en la producción provocadas por las tormentas tropicales E</w:t>
      </w:r>
      <w:r w:rsidR="00B76418">
        <w:rPr>
          <w:rFonts w:ascii="Futura Lt BT" w:eastAsia="Futura Lt BT" w:hAnsi="Futura Lt BT" w:cs="Futura Lt BT"/>
          <w:color w:val="auto"/>
          <w:lang w:val="es-CR"/>
        </w:rPr>
        <w:t>t</w:t>
      </w:r>
      <w:r w:rsidR="00A2081D" w:rsidRPr="00841D00">
        <w:rPr>
          <w:rFonts w:ascii="Futura Lt BT" w:eastAsia="Futura Lt BT" w:hAnsi="Futura Lt BT" w:cs="Futura Lt BT"/>
          <w:color w:val="auto"/>
          <w:lang w:val="es-CR"/>
        </w:rPr>
        <w:t xml:space="preserve">a e Iota, </w:t>
      </w:r>
      <w:r w:rsidR="00841D00">
        <w:rPr>
          <w:rFonts w:ascii="Futura Lt BT" w:eastAsia="Futura Lt BT" w:hAnsi="Futura Lt BT" w:cs="Futura Lt BT"/>
          <w:color w:val="auto"/>
          <w:lang w:val="es-CR"/>
        </w:rPr>
        <w:t>d</w:t>
      </w:r>
      <w:r w:rsidR="00A2081D" w:rsidRPr="00841D00">
        <w:rPr>
          <w:rFonts w:ascii="Futura Lt BT" w:eastAsia="Futura Lt BT" w:hAnsi="Futura Lt BT" w:cs="Futura Lt BT"/>
          <w:color w:val="auto"/>
          <w:lang w:val="es-CR"/>
        </w:rPr>
        <w:t>e noviembre de 2020. E</w:t>
      </w:r>
      <w:r w:rsidR="00A7518C">
        <w:rPr>
          <w:rFonts w:ascii="Futura Lt BT" w:eastAsia="Futura Lt BT" w:hAnsi="Futura Lt BT" w:cs="Futura Lt BT"/>
          <w:color w:val="auto"/>
          <w:lang w:val="es-CR"/>
        </w:rPr>
        <w:t xml:space="preserve">ste mismo indicador refleja que </w:t>
      </w:r>
      <w:r w:rsidR="00A2081D" w:rsidRPr="00841D00">
        <w:rPr>
          <w:rFonts w:ascii="Futura Lt BT" w:eastAsia="Futura Lt BT" w:hAnsi="Futura Lt BT" w:cs="Futura Lt BT"/>
          <w:color w:val="auto"/>
          <w:lang w:val="es-CR"/>
        </w:rPr>
        <w:t xml:space="preserve">la recuperación entre sectores es heterogénea, con fuertes </w:t>
      </w:r>
      <w:r w:rsidR="00A7518C">
        <w:rPr>
          <w:rFonts w:ascii="Futura Lt BT" w:eastAsia="Futura Lt BT" w:hAnsi="Futura Lt BT" w:cs="Futura Lt BT"/>
          <w:color w:val="auto"/>
          <w:lang w:val="es-CR"/>
        </w:rPr>
        <w:t>caídas</w:t>
      </w:r>
      <w:r w:rsidR="00A2081D" w:rsidRPr="00841D00">
        <w:rPr>
          <w:rFonts w:ascii="Futura Lt BT" w:eastAsia="Futura Lt BT" w:hAnsi="Futura Lt BT" w:cs="Futura Lt BT"/>
          <w:color w:val="auto"/>
          <w:lang w:val="es-CR"/>
        </w:rPr>
        <w:t xml:space="preserve"> en los más afectados por el distanciamiento social (</w:t>
      </w:r>
      <w:r w:rsidR="00A7518C">
        <w:rPr>
          <w:rFonts w:ascii="Futura Lt BT" w:eastAsia="Futura Lt BT" w:hAnsi="Futura Lt BT" w:cs="Futura Lt BT"/>
          <w:color w:val="auto"/>
          <w:lang w:val="es-CR"/>
        </w:rPr>
        <w:t xml:space="preserve">por ejemplo, </w:t>
      </w:r>
      <w:r w:rsidR="00A2081D" w:rsidRPr="00841D00">
        <w:rPr>
          <w:rFonts w:ascii="Futura Lt BT" w:eastAsia="Futura Lt BT" w:hAnsi="Futura Lt BT" w:cs="Futura Lt BT"/>
          <w:color w:val="auto"/>
          <w:lang w:val="es-CR"/>
        </w:rPr>
        <w:t>hoteles y restaurantes, construcción). Sobre la inflación</w:t>
      </w:r>
      <w:r w:rsidR="00841D00">
        <w:rPr>
          <w:rFonts w:ascii="Futura Lt BT" w:eastAsia="Futura Lt BT" w:hAnsi="Futura Lt BT" w:cs="Futura Lt BT"/>
          <w:color w:val="auto"/>
          <w:lang w:val="es-CR"/>
        </w:rPr>
        <w:t>, señaló que a</w:t>
      </w:r>
      <w:r w:rsidR="00A2081D" w:rsidRPr="00841D00">
        <w:rPr>
          <w:rFonts w:ascii="Futura Lt BT" w:eastAsia="Futura Lt BT" w:hAnsi="Futura Lt BT" w:cs="Futura Lt BT"/>
          <w:color w:val="auto"/>
          <w:lang w:val="es-CR"/>
        </w:rPr>
        <w:t xml:space="preserve">l cierre de 2020 la inflación total se ubicó en el punto medio del rango de tolerancia (de 3% a 5%), y a enero de 2021 en 4.18%, explicada por </w:t>
      </w:r>
      <w:r w:rsidR="00841D00">
        <w:rPr>
          <w:rFonts w:ascii="Futura Lt BT" w:eastAsia="Futura Lt BT" w:hAnsi="Futura Lt BT" w:cs="Futura Lt BT"/>
          <w:color w:val="auto"/>
          <w:lang w:val="es-CR"/>
        </w:rPr>
        <w:t xml:space="preserve">una </w:t>
      </w:r>
      <w:r w:rsidR="00A2081D" w:rsidRPr="00841D00">
        <w:rPr>
          <w:rFonts w:ascii="Futura Lt BT" w:eastAsia="Futura Lt BT" w:hAnsi="Futura Lt BT" w:cs="Futura Lt BT"/>
          <w:color w:val="auto"/>
          <w:lang w:val="es-CR"/>
        </w:rPr>
        <w:t xml:space="preserve">mayor contribución de los rubros alimentos y bebidas no alcohólicas, transporte, muebles y artículos para </w:t>
      </w:r>
      <w:r w:rsidR="00841D00">
        <w:rPr>
          <w:rFonts w:ascii="Futura Lt BT" w:eastAsia="Futura Lt BT" w:hAnsi="Futura Lt BT" w:cs="Futura Lt BT"/>
          <w:color w:val="auto"/>
          <w:lang w:val="es-CR"/>
        </w:rPr>
        <w:t>l</w:t>
      </w:r>
      <w:r w:rsidR="00A2081D" w:rsidRPr="00841D00">
        <w:rPr>
          <w:rFonts w:ascii="Futura Lt BT" w:eastAsia="Futura Lt BT" w:hAnsi="Futura Lt BT" w:cs="Futura Lt BT"/>
          <w:color w:val="auto"/>
          <w:lang w:val="es-CR"/>
        </w:rPr>
        <w:t xml:space="preserve">a conservación del hogar, y servicios de salud y educación. </w:t>
      </w:r>
      <w:r w:rsidR="00841D00">
        <w:rPr>
          <w:rFonts w:ascii="Futura Lt BT" w:eastAsia="Futura Lt BT" w:hAnsi="Futura Lt BT" w:cs="Futura Lt BT"/>
          <w:color w:val="auto"/>
          <w:lang w:val="es-CR"/>
        </w:rPr>
        <w:t>Asimismo, e</w:t>
      </w:r>
      <w:r w:rsidR="00A2081D" w:rsidRPr="00841D00">
        <w:rPr>
          <w:rFonts w:ascii="Futura Lt BT" w:eastAsia="Futura Lt BT" w:hAnsi="Futura Lt BT" w:cs="Futura Lt BT"/>
          <w:color w:val="auto"/>
          <w:lang w:val="es-CR"/>
        </w:rPr>
        <w:t xml:space="preserve">ntre julio de 2020 y enero de 2021 la inflación subyacente se aceleró, explicada por factores de oferta, debido a los ajustes de costos </w:t>
      </w:r>
      <w:r w:rsidR="004E619B">
        <w:rPr>
          <w:rFonts w:ascii="Futura Lt BT" w:eastAsia="Futura Lt BT" w:hAnsi="Futura Lt BT" w:cs="Futura Lt BT"/>
          <w:color w:val="auto"/>
          <w:lang w:val="es-CR"/>
        </w:rPr>
        <w:t xml:space="preserve">operativos derivados de </w:t>
      </w:r>
      <w:r w:rsidR="00A2081D" w:rsidRPr="00841D00">
        <w:rPr>
          <w:rFonts w:ascii="Futura Lt BT" w:eastAsia="Futura Lt BT" w:hAnsi="Futura Lt BT" w:cs="Futura Lt BT"/>
          <w:color w:val="auto"/>
          <w:lang w:val="es-CR"/>
        </w:rPr>
        <w:t xml:space="preserve">la emergencia sanitaria en algunos bienes industrializados y servicios específicos. </w:t>
      </w:r>
      <w:r w:rsidR="00D26DAF" w:rsidRPr="005F35B4">
        <w:rPr>
          <w:rFonts w:ascii="Futura Lt BT" w:eastAsia="Futura Lt BT" w:hAnsi="Futura Lt BT" w:cs="Futura Lt BT"/>
          <w:color w:val="auto"/>
          <w:lang w:val="es-CR"/>
        </w:rPr>
        <w:t xml:space="preserve">En cuanto a </w:t>
      </w:r>
      <w:r w:rsidR="004E619B">
        <w:rPr>
          <w:rFonts w:ascii="Futura Lt BT" w:eastAsia="Futura Lt BT" w:hAnsi="Futura Lt BT" w:cs="Futura Lt BT"/>
          <w:color w:val="auto"/>
          <w:lang w:val="es-CR"/>
        </w:rPr>
        <w:t>comercio exterior</w:t>
      </w:r>
      <w:r w:rsidR="00D26DAF" w:rsidRPr="005F35B4">
        <w:rPr>
          <w:rFonts w:ascii="Futura Lt BT" w:eastAsia="Futura Lt BT" w:hAnsi="Futura Lt BT" w:cs="Futura Lt BT"/>
          <w:color w:val="auto"/>
          <w:lang w:val="es-CR"/>
        </w:rPr>
        <w:t xml:space="preserve">, </w:t>
      </w:r>
      <w:r w:rsidR="005F35B4">
        <w:rPr>
          <w:rFonts w:ascii="Futura Lt BT" w:eastAsia="Futura Lt BT" w:hAnsi="Futura Lt BT" w:cs="Futura Lt BT"/>
          <w:color w:val="auto"/>
          <w:lang w:val="es-CR"/>
        </w:rPr>
        <w:t xml:space="preserve">indicó que </w:t>
      </w:r>
      <w:r w:rsidR="00D26DAF" w:rsidRPr="005F35B4">
        <w:rPr>
          <w:rFonts w:ascii="Futura Lt BT" w:eastAsia="Futura Lt BT" w:hAnsi="Futura Lt BT" w:cs="Futura Lt BT"/>
          <w:color w:val="auto"/>
          <w:lang w:val="es-CR"/>
        </w:rPr>
        <w:t>a diciembre de 2020 las exportaciones de mercancías generales continuaron mostrando un comportamiento favorable</w:t>
      </w:r>
      <w:r w:rsidR="005F35B4">
        <w:rPr>
          <w:rFonts w:ascii="Futura Lt BT" w:eastAsia="Futura Lt BT" w:hAnsi="Futura Lt BT" w:cs="Futura Lt BT"/>
          <w:color w:val="auto"/>
          <w:lang w:val="es-CR"/>
        </w:rPr>
        <w:t>,</w:t>
      </w:r>
      <w:r w:rsidR="00D26DAF" w:rsidRPr="005F35B4">
        <w:rPr>
          <w:rFonts w:ascii="Futura Lt BT" w:eastAsia="Futura Lt BT" w:hAnsi="Futura Lt BT" w:cs="Futura Lt BT"/>
          <w:color w:val="auto"/>
          <w:lang w:val="es-CR"/>
        </w:rPr>
        <w:t xml:space="preserve"> con un crecimiento interanual de 0.6% (-2.3% en 2019)</w:t>
      </w:r>
      <w:r w:rsidR="005F35B4">
        <w:rPr>
          <w:rFonts w:ascii="Futura Lt BT" w:eastAsia="Futura Lt BT" w:hAnsi="Futura Lt BT" w:cs="Futura Lt BT"/>
          <w:color w:val="auto"/>
          <w:lang w:val="es-CR"/>
        </w:rPr>
        <w:t>; mientras que l</w:t>
      </w:r>
      <w:r w:rsidR="00D26DAF" w:rsidRPr="005F35B4">
        <w:rPr>
          <w:rFonts w:ascii="Futura Lt BT" w:eastAsia="Futura Lt BT" w:hAnsi="Futura Lt BT" w:cs="Futura Lt BT"/>
          <w:color w:val="auto"/>
          <w:lang w:val="es-CR"/>
        </w:rPr>
        <w:t xml:space="preserve">as importaciones de mercancías generales registraron una caída interanual de 13.5% (-3.5% en 2019), reflejando la contracción de la demanda agregada y </w:t>
      </w:r>
      <w:r w:rsidR="005F35B4">
        <w:rPr>
          <w:rFonts w:ascii="Futura Lt BT" w:eastAsia="Futura Lt BT" w:hAnsi="Futura Lt BT" w:cs="Futura Lt BT"/>
          <w:color w:val="auto"/>
          <w:lang w:val="es-CR"/>
        </w:rPr>
        <w:t xml:space="preserve">los </w:t>
      </w:r>
      <w:r w:rsidR="00D26DAF" w:rsidRPr="005F35B4">
        <w:rPr>
          <w:rFonts w:ascii="Futura Lt BT" w:eastAsia="Futura Lt BT" w:hAnsi="Futura Lt BT" w:cs="Futura Lt BT"/>
          <w:color w:val="auto"/>
          <w:lang w:val="es-CR"/>
        </w:rPr>
        <w:t xml:space="preserve">menores precios internacionales de los combustibles. </w:t>
      </w:r>
      <w:r w:rsidR="005F35B4">
        <w:rPr>
          <w:rFonts w:ascii="Futura Lt BT" w:eastAsia="Futura Lt BT" w:hAnsi="Futura Lt BT" w:cs="Futura Lt BT"/>
          <w:color w:val="auto"/>
          <w:lang w:val="es-CR"/>
        </w:rPr>
        <w:t>Informó que e</w:t>
      </w:r>
      <w:r w:rsidR="00D26DAF" w:rsidRPr="005F35B4">
        <w:rPr>
          <w:rFonts w:ascii="Futura Lt BT" w:eastAsia="Futura Lt BT" w:hAnsi="Futura Lt BT" w:cs="Futura Lt BT"/>
          <w:color w:val="auto"/>
          <w:lang w:val="es-CR"/>
        </w:rPr>
        <w:t>n 2020 se registró u</w:t>
      </w:r>
      <w:r w:rsidR="005F35B4">
        <w:rPr>
          <w:rFonts w:ascii="Futura Lt BT" w:eastAsia="Futura Lt BT" w:hAnsi="Futura Lt BT" w:cs="Futura Lt BT"/>
          <w:color w:val="auto"/>
          <w:lang w:val="es-CR"/>
        </w:rPr>
        <w:t>n</w:t>
      </w:r>
      <w:r w:rsidR="00D26DAF" w:rsidRPr="005F35B4">
        <w:rPr>
          <w:rFonts w:ascii="Futura Lt BT" w:eastAsia="Futura Lt BT" w:hAnsi="Futura Lt BT" w:cs="Futura Lt BT"/>
          <w:color w:val="auto"/>
          <w:lang w:val="es-CR"/>
        </w:rPr>
        <w:t xml:space="preserve"> superávit en cuenta corriente de 2.9% del PIB, resultado</w:t>
      </w:r>
      <w:r w:rsidR="005F35B4">
        <w:rPr>
          <w:rFonts w:ascii="Futura Lt BT" w:eastAsia="Futura Lt BT" w:hAnsi="Futura Lt BT" w:cs="Futura Lt BT"/>
          <w:color w:val="auto"/>
          <w:lang w:val="es-CR"/>
        </w:rPr>
        <w:t>,</w:t>
      </w:r>
      <w:r w:rsidR="00D26DAF" w:rsidRPr="005F35B4">
        <w:rPr>
          <w:rFonts w:ascii="Futura Lt BT" w:eastAsia="Futura Lt BT" w:hAnsi="Futura Lt BT" w:cs="Futura Lt BT"/>
          <w:color w:val="auto"/>
          <w:lang w:val="es-CR"/>
        </w:rPr>
        <w:t xml:space="preserve"> principalmente</w:t>
      </w:r>
      <w:r w:rsidR="005F35B4">
        <w:rPr>
          <w:rFonts w:ascii="Futura Lt BT" w:eastAsia="Futura Lt BT" w:hAnsi="Futura Lt BT" w:cs="Futura Lt BT"/>
          <w:color w:val="auto"/>
          <w:lang w:val="es-CR"/>
        </w:rPr>
        <w:t>,</w:t>
      </w:r>
      <w:r w:rsidR="00D26DAF" w:rsidRPr="005F35B4">
        <w:rPr>
          <w:rFonts w:ascii="Futura Lt BT" w:eastAsia="Futura Lt BT" w:hAnsi="Futura Lt BT" w:cs="Futura Lt BT"/>
          <w:color w:val="auto"/>
          <w:lang w:val="es-CR"/>
        </w:rPr>
        <w:t xml:space="preserve"> de las menores importaciones de bienes respecto del año pasado. Las remesas familiares al 2 de marzo de 2021 muestran un incremento de USD119.4 millones (13.3%) con relación a la misma fecha del 2020. En cuanto a las reservas internacionales netas, al cierre de 2020 se registró una acumulación de USD2,339.9 millones, llevándolas a USD8,149 millones, permitiendo una cobertura de 9 meses de importación, que se explica por los desembolsos por préstamos y colocación de bono soberano</w:t>
      </w:r>
      <w:r w:rsidR="00944DCB" w:rsidRPr="005F35B4">
        <w:rPr>
          <w:rFonts w:ascii="Futura Lt BT" w:eastAsia="Futura Lt BT" w:hAnsi="Futura Lt BT" w:cs="Futura Lt BT"/>
          <w:color w:val="auto"/>
          <w:lang w:val="es-CR"/>
        </w:rPr>
        <w:t xml:space="preserve"> y menor demanda de divisas dada la caída den las importaciones. </w:t>
      </w:r>
    </w:p>
    <w:p w14:paraId="01CC29D3" w14:textId="64317430" w:rsidR="00D26DAF" w:rsidRPr="005F35B4" w:rsidRDefault="00944DCB" w:rsidP="006D4735">
      <w:pPr>
        <w:pStyle w:val="Body"/>
        <w:spacing w:before="120" w:after="240" w:line="240" w:lineRule="auto"/>
        <w:ind w:firstLine="709"/>
        <w:jc w:val="both"/>
        <w:rPr>
          <w:rFonts w:ascii="Futura Lt BT" w:eastAsia="Futura Lt BT" w:hAnsi="Futura Lt BT" w:cs="Futura Lt BT"/>
          <w:color w:val="auto"/>
          <w:lang w:val="es-CR"/>
        </w:rPr>
      </w:pPr>
      <w:r w:rsidRPr="005F35B4">
        <w:rPr>
          <w:rFonts w:ascii="Futura Lt BT" w:eastAsia="Futura Lt BT" w:hAnsi="Futura Lt BT" w:cs="Futura Lt BT"/>
          <w:color w:val="auto"/>
          <w:lang w:val="es-CR"/>
        </w:rPr>
        <w:t>Sobre el tipo de cambio de referencia, al cierre de 2020 registró una apreciación interanual de 2.11%, contrario a la depreciación observada en la misma fecha en 2019 (1.22%)</w:t>
      </w:r>
      <w:r w:rsidR="005F35B4">
        <w:rPr>
          <w:rFonts w:ascii="Futura Lt BT" w:eastAsia="Futura Lt BT" w:hAnsi="Futura Lt BT" w:cs="Futura Lt BT"/>
          <w:color w:val="auto"/>
          <w:lang w:val="es-CR"/>
        </w:rPr>
        <w:t xml:space="preserve">; mientras que, al </w:t>
      </w:r>
      <w:r w:rsidRPr="005F35B4">
        <w:rPr>
          <w:rFonts w:ascii="Futura Lt BT" w:eastAsia="Futura Lt BT" w:hAnsi="Futura Lt BT" w:cs="Futura Lt BT"/>
          <w:color w:val="auto"/>
          <w:lang w:val="es-CR"/>
        </w:rPr>
        <w:t xml:space="preserve">3 de marzo de 2021, el tipo de cambio registra una apreciación interanual de 2.64%. </w:t>
      </w:r>
      <w:r w:rsidR="001C1383">
        <w:rPr>
          <w:rFonts w:ascii="Futura Lt BT" w:eastAsia="Futura Lt BT" w:hAnsi="Futura Lt BT" w:cs="Futura Lt BT"/>
          <w:color w:val="auto"/>
          <w:lang w:val="es-CR"/>
        </w:rPr>
        <w:t>A pesar de las consecuencias de la pandemia, e</w:t>
      </w:r>
      <w:r w:rsidRPr="005F35B4">
        <w:rPr>
          <w:rFonts w:ascii="Futura Lt BT" w:eastAsia="Futura Lt BT" w:hAnsi="Futura Lt BT" w:cs="Futura Lt BT"/>
          <w:color w:val="auto"/>
          <w:lang w:val="es-CR"/>
        </w:rPr>
        <w:t xml:space="preserve">l desarrollo del mercado interbancario de divisas </w:t>
      </w:r>
      <w:r w:rsidR="001C1383">
        <w:rPr>
          <w:rFonts w:ascii="Futura Lt BT" w:eastAsia="Futura Lt BT" w:hAnsi="Futura Lt BT" w:cs="Futura Lt BT"/>
          <w:color w:val="auto"/>
          <w:lang w:val="es-CR"/>
        </w:rPr>
        <w:t xml:space="preserve">propiciado por el BCH </w:t>
      </w:r>
      <w:r w:rsidRPr="005F35B4">
        <w:rPr>
          <w:rFonts w:ascii="Futura Lt BT" w:eastAsia="Futura Lt BT" w:hAnsi="Futura Lt BT" w:cs="Futura Lt BT"/>
          <w:color w:val="auto"/>
          <w:lang w:val="es-CR"/>
        </w:rPr>
        <w:t>ha generado mucha certidumbre.</w:t>
      </w:r>
      <w:r w:rsidR="0093301C" w:rsidRPr="005F35B4">
        <w:rPr>
          <w:rFonts w:ascii="Futura Lt BT" w:eastAsia="Futura Lt BT" w:hAnsi="Futura Lt BT" w:cs="Futura Lt BT"/>
          <w:color w:val="auto"/>
          <w:lang w:val="es-CR"/>
        </w:rPr>
        <w:t xml:space="preserve"> El porcentaje liberalizado </w:t>
      </w:r>
      <w:r w:rsidR="005F35B4">
        <w:rPr>
          <w:rFonts w:ascii="Futura Lt BT" w:eastAsia="Futura Lt BT" w:hAnsi="Futura Lt BT" w:cs="Futura Lt BT"/>
          <w:color w:val="auto"/>
          <w:lang w:val="es-CR"/>
        </w:rPr>
        <w:t xml:space="preserve">de ese mercado </w:t>
      </w:r>
      <w:r w:rsidR="0093301C" w:rsidRPr="005F35B4">
        <w:rPr>
          <w:rFonts w:ascii="Futura Lt BT" w:eastAsia="Futura Lt BT" w:hAnsi="Futura Lt BT" w:cs="Futura Lt BT"/>
          <w:color w:val="auto"/>
          <w:lang w:val="es-CR"/>
        </w:rPr>
        <w:t xml:space="preserve">fue de 70% a diciembre de 2020, y a partir del 1 de marzo </w:t>
      </w:r>
      <w:r w:rsidR="005F35B4">
        <w:rPr>
          <w:rFonts w:ascii="Futura Lt BT" w:eastAsia="Futura Lt BT" w:hAnsi="Futura Lt BT" w:cs="Futura Lt BT"/>
          <w:color w:val="auto"/>
          <w:lang w:val="es-CR"/>
        </w:rPr>
        <w:t>alcanzó</w:t>
      </w:r>
      <w:r w:rsidR="0093301C" w:rsidRPr="005F35B4">
        <w:rPr>
          <w:rFonts w:ascii="Futura Lt BT" w:eastAsia="Futura Lt BT" w:hAnsi="Futura Lt BT" w:cs="Futura Lt BT"/>
          <w:color w:val="auto"/>
          <w:lang w:val="es-CR"/>
        </w:rPr>
        <w:t xml:space="preserve"> </w:t>
      </w:r>
      <w:r w:rsidR="005F35B4">
        <w:rPr>
          <w:rFonts w:ascii="Futura Lt BT" w:eastAsia="Futura Lt BT" w:hAnsi="Futura Lt BT" w:cs="Futura Lt BT"/>
          <w:color w:val="auto"/>
          <w:lang w:val="es-CR"/>
        </w:rPr>
        <w:t>e</w:t>
      </w:r>
      <w:r w:rsidR="0093301C" w:rsidRPr="005F35B4">
        <w:rPr>
          <w:rFonts w:ascii="Futura Lt BT" w:eastAsia="Futura Lt BT" w:hAnsi="Futura Lt BT" w:cs="Futura Lt BT"/>
          <w:color w:val="auto"/>
          <w:lang w:val="es-CR"/>
        </w:rPr>
        <w:t xml:space="preserve">l 80%. </w:t>
      </w:r>
      <w:r w:rsidR="005F35B4">
        <w:rPr>
          <w:rFonts w:ascii="Futura Lt BT" w:eastAsia="Futura Lt BT" w:hAnsi="Futura Lt BT" w:cs="Futura Lt BT"/>
          <w:color w:val="auto"/>
          <w:lang w:val="es-CR"/>
        </w:rPr>
        <w:t>Resaltó que e</w:t>
      </w:r>
      <w:r w:rsidR="00CA0FC4" w:rsidRPr="005F35B4">
        <w:rPr>
          <w:rFonts w:ascii="Futura Lt BT" w:eastAsia="Futura Lt BT" w:hAnsi="Futura Lt BT" w:cs="Futura Lt BT"/>
          <w:color w:val="auto"/>
          <w:lang w:val="es-CR"/>
        </w:rPr>
        <w:t xml:space="preserve">l sistema financiero continúa mostrando altos niveles de liquidez de corto plazo; este comportamiento </w:t>
      </w:r>
      <w:r w:rsidR="001C1383">
        <w:rPr>
          <w:rFonts w:ascii="Futura Lt BT" w:eastAsia="Futura Lt BT" w:hAnsi="Futura Lt BT" w:cs="Futura Lt BT"/>
          <w:color w:val="auto"/>
          <w:lang w:val="es-CR"/>
        </w:rPr>
        <w:t>refleja</w:t>
      </w:r>
      <w:r w:rsidR="00CA0FC4" w:rsidRPr="005F35B4">
        <w:rPr>
          <w:rFonts w:ascii="Futura Lt BT" w:eastAsia="Futura Lt BT" w:hAnsi="Futura Lt BT" w:cs="Futura Lt BT"/>
          <w:color w:val="auto"/>
          <w:lang w:val="es-CR"/>
        </w:rPr>
        <w:t xml:space="preserve"> un mayor crecimiento de los depósitos respecto al crédito</w:t>
      </w:r>
      <w:r w:rsidR="005F35B4">
        <w:rPr>
          <w:rFonts w:ascii="Futura Lt BT" w:eastAsia="Futura Lt BT" w:hAnsi="Futura Lt BT" w:cs="Futura Lt BT"/>
          <w:color w:val="auto"/>
          <w:lang w:val="es-CR"/>
        </w:rPr>
        <w:t xml:space="preserve">; </w:t>
      </w:r>
      <w:r w:rsidR="00173D14" w:rsidRPr="005F35B4">
        <w:rPr>
          <w:rFonts w:ascii="Futura Lt BT" w:eastAsia="Futura Lt BT" w:hAnsi="Futura Lt BT" w:cs="Futura Lt BT"/>
          <w:color w:val="auto"/>
          <w:lang w:val="es-CR"/>
        </w:rPr>
        <w:t xml:space="preserve">asociado </w:t>
      </w:r>
      <w:r w:rsidR="001C1383">
        <w:rPr>
          <w:rFonts w:ascii="Futura Lt BT" w:eastAsia="Futura Lt BT" w:hAnsi="Futura Lt BT" w:cs="Futura Lt BT"/>
          <w:color w:val="auto"/>
          <w:lang w:val="es-CR"/>
        </w:rPr>
        <w:t xml:space="preserve">todo ello </w:t>
      </w:r>
      <w:r w:rsidR="00173D14" w:rsidRPr="005F35B4">
        <w:rPr>
          <w:rFonts w:ascii="Futura Lt BT" w:eastAsia="Futura Lt BT" w:hAnsi="Futura Lt BT" w:cs="Futura Lt BT"/>
          <w:color w:val="auto"/>
          <w:lang w:val="es-CR"/>
        </w:rPr>
        <w:t>a motivos precautorios y menor gasto agregado (consumo e inversión).</w:t>
      </w:r>
      <w:r w:rsidR="0017719D" w:rsidRPr="005F35B4">
        <w:rPr>
          <w:rFonts w:ascii="Futura Lt BT" w:eastAsia="Futura Lt BT" w:hAnsi="Futura Lt BT" w:cs="Futura Lt BT"/>
          <w:color w:val="auto"/>
          <w:lang w:val="es-CR"/>
        </w:rPr>
        <w:t xml:space="preserve"> En cuanto al resultado fiscal del sector público no financiero, </w:t>
      </w:r>
      <w:r w:rsidR="005F35B4">
        <w:rPr>
          <w:rFonts w:ascii="Futura Lt BT" w:eastAsia="Futura Lt BT" w:hAnsi="Futura Lt BT" w:cs="Futura Lt BT"/>
          <w:color w:val="auto"/>
          <w:lang w:val="es-CR"/>
        </w:rPr>
        <w:t xml:space="preserve">informó que </w:t>
      </w:r>
      <w:r w:rsidR="0017719D" w:rsidRPr="005F35B4">
        <w:rPr>
          <w:rFonts w:ascii="Futura Lt BT" w:eastAsia="Futura Lt BT" w:hAnsi="Futura Lt BT" w:cs="Futura Lt BT"/>
          <w:color w:val="auto"/>
          <w:lang w:val="es-CR"/>
        </w:rPr>
        <w:t xml:space="preserve">el déficit se situó en 5.5% del PIB en 2020, mayor en 4.6 </w:t>
      </w:r>
      <w:r w:rsidR="00FF0D9B" w:rsidRPr="005F35B4">
        <w:rPr>
          <w:rFonts w:ascii="Futura Lt BT" w:eastAsia="Futura Lt BT" w:hAnsi="Futura Lt BT" w:cs="Futura Lt BT"/>
          <w:color w:val="auto"/>
          <w:lang w:val="es-CR"/>
        </w:rPr>
        <w:t>puntos</w:t>
      </w:r>
      <w:r w:rsidR="0017719D" w:rsidRPr="005F35B4">
        <w:rPr>
          <w:rFonts w:ascii="Futura Lt BT" w:eastAsia="Futura Lt BT" w:hAnsi="Futura Lt BT" w:cs="Futura Lt BT"/>
          <w:color w:val="auto"/>
          <w:lang w:val="es-CR"/>
        </w:rPr>
        <w:t xml:space="preserve"> porcentuales </w:t>
      </w:r>
      <w:r w:rsidR="001C1383">
        <w:rPr>
          <w:rFonts w:ascii="Futura Lt BT" w:eastAsia="Futura Lt BT" w:hAnsi="Futura Lt BT" w:cs="Futura Lt BT"/>
          <w:color w:val="auto"/>
          <w:lang w:val="es-CR"/>
        </w:rPr>
        <w:t>que</w:t>
      </w:r>
      <w:r w:rsidR="0017719D" w:rsidRPr="005F35B4">
        <w:rPr>
          <w:rFonts w:ascii="Futura Lt BT" w:eastAsia="Futura Lt BT" w:hAnsi="Futura Lt BT" w:cs="Futura Lt BT"/>
          <w:color w:val="auto"/>
          <w:lang w:val="es-CR"/>
        </w:rPr>
        <w:t xml:space="preserve"> lo registrado en </w:t>
      </w:r>
      <w:r w:rsidR="00FF0D9B" w:rsidRPr="005F35B4">
        <w:rPr>
          <w:rFonts w:ascii="Futura Lt BT" w:eastAsia="Futura Lt BT" w:hAnsi="Futura Lt BT" w:cs="Futura Lt BT"/>
          <w:color w:val="auto"/>
          <w:lang w:val="es-CR"/>
        </w:rPr>
        <w:t xml:space="preserve">2019 (0.9%). </w:t>
      </w:r>
      <w:r w:rsidR="001C1383">
        <w:rPr>
          <w:rFonts w:ascii="Futura Lt BT" w:eastAsia="Futura Lt BT" w:hAnsi="Futura Lt BT" w:cs="Futura Lt BT"/>
          <w:color w:val="auto"/>
          <w:lang w:val="es-CR"/>
        </w:rPr>
        <w:t xml:space="preserve">Por los motivos conocidos de los efectos de la pandemia, se aplicó la cláusula de excepción en la aplicación de los porcentajes de déficit fiscal de </w:t>
      </w:r>
      <w:r w:rsidR="00FF0D9B" w:rsidRPr="005F35B4">
        <w:rPr>
          <w:rFonts w:ascii="Futura Lt BT" w:eastAsia="Futura Lt BT" w:hAnsi="Futura Lt BT" w:cs="Futura Lt BT"/>
          <w:color w:val="auto"/>
          <w:lang w:val="es-CR"/>
        </w:rPr>
        <w:t xml:space="preserve">la </w:t>
      </w:r>
      <w:r w:rsidR="001C1383">
        <w:rPr>
          <w:rFonts w:ascii="Futura Lt BT" w:eastAsia="Futura Lt BT" w:hAnsi="Futura Lt BT" w:cs="Futura Lt BT"/>
          <w:color w:val="auto"/>
          <w:lang w:val="es-CR"/>
        </w:rPr>
        <w:t>L</w:t>
      </w:r>
      <w:r w:rsidR="00FF0D9B" w:rsidRPr="005F35B4">
        <w:rPr>
          <w:rFonts w:ascii="Futura Lt BT" w:eastAsia="Futura Lt BT" w:hAnsi="Futura Lt BT" w:cs="Futura Lt BT"/>
          <w:color w:val="auto"/>
          <w:lang w:val="es-CR"/>
        </w:rPr>
        <w:t xml:space="preserve">ey de </w:t>
      </w:r>
      <w:r w:rsidR="001C1383">
        <w:rPr>
          <w:rFonts w:ascii="Futura Lt BT" w:eastAsia="Futura Lt BT" w:hAnsi="Futura Lt BT" w:cs="Futura Lt BT"/>
          <w:color w:val="auto"/>
          <w:lang w:val="es-CR"/>
        </w:rPr>
        <w:t>R</w:t>
      </w:r>
      <w:r w:rsidR="00FF0D9B" w:rsidRPr="005F35B4">
        <w:rPr>
          <w:rFonts w:ascii="Futura Lt BT" w:eastAsia="Futura Lt BT" w:hAnsi="Futura Lt BT" w:cs="Futura Lt BT"/>
          <w:color w:val="auto"/>
          <w:lang w:val="es-CR"/>
        </w:rPr>
        <w:t xml:space="preserve">esponsabilidad </w:t>
      </w:r>
      <w:r w:rsidR="001C1383">
        <w:rPr>
          <w:rFonts w:ascii="Futura Lt BT" w:eastAsia="Futura Lt BT" w:hAnsi="Futura Lt BT" w:cs="Futura Lt BT"/>
          <w:color w:val="auto"/>
          <w:lang w:val="es-CR"/>
        </w:rPr>
        <w:t>F</w:t>
      </w:r>
      <w:r w:rsidR="00FF0D9B" w:rsidRPr="005F35B4">
        <w:rPr>
          <w:rFonts w:ascii="Futura Lt BT" w:eastAsia="Futura Lt BT" w:hAnsi="Futura Lt BT" w:cs="Futura Lt BT"/>
          <w:color w:val="auto"/>
          <w:lang w:val="es-CR"/>
        </w:rPr>
        <w:t xml:space="preserve">iscal. En cuanto a perspectivas de 2021, </w:t>
      </w:r>
      <w:r w:rsidR="005F35B4">
        <w:rPr>
          <w:rFonts w:ascii="Futura Lt BT" w:eastAsia="Futura Lt BT" w:hAnsi="Futura Lt BT" w:cs="Futura Lt BT"/>
          <w:color w:val="auto"/>
          <w:lang w:val="es-CR"/>
        </w:rPr>
        <w:t xml:space="preserve">comentó que </w:t>
      </w:r>
      <w:r w:rsidR="00FF0D9B" w:rsidRPr="005F35B4">
        <w:rPr>
          <w:rFonts w:ascii="Futura Lt BT" w:eastAsia="Futura Lt BT" w:hAnsi="Futura Lt BT" w:cs="Futura Lt BT"/>
          <w:color w:val="auto"/>
          <w:lang w:val="es-CR"/>
        </w:rPr>
        <w:t xml:space="preserve">se prevé </w:t>
      </w:r>
      <w:r w:rsidR="00847FAE">
        <w:rPr>
          <w:rFonts w:ascii="Futura Lt BT" w:eastAsia="Futura Lt BT" w:hAnsi="Futura Lt BT" w:cs="Futura Lt BT"/>
          <w:color w:val="auto"/>
          <w:lang w:val="es-CR"/>
        </w:rPr>
        <w:t>que la</w:t>
      </w:r>
      <w:r w:rsidR="00FF0D9B" w:rsidRPr="005F35B4">
        <w:rPr>
          <w:rFonts w:ascii="Futura Lt BT" w:eastAsia="Futura Lt BT" w:hAnsi="Futura Lt BT" w:cs="Futura Lt BT"/>
          <w:color w:val="auto"/>
          <w:lang w:val="es-CR"/>
        </w:rPr>
        <w:t xml:space="preserve"> inflación </w:t>
      </w:r>
      <w:r w:rsidR="002F600B">
        <w:rPr>
          <w:rFonts w:ascii="Futura Lt BT" w:eastAsia="Futura Lt BT" w:hAnsi="Futura Lt BT" w:cs="Futura Lt BT"/>
          <w:color w:val="auto"/>
          <w:lang w:val="es-CR"/>
        </w:rPr>
        <w:t xml:space="preserve">se mantenga cercana al punto medio del rango de tolerancia </w:t>
      </w:r>
      <w:r w:rsidR="00FF0D9B" w:rsidRPr="005F35B4">
        <w:rPr>
          <w:rFonts w:ascii="Futura Lt BT" w:eastAsia="Futura Lt BT" w:hAnsi="Futura Lt BT" w:cs="Futura Lt BT"/>
          <w:color w:val="auto"/>
          <w:lang w:val="es-CR"/>
        </w:rPr>
        <w:t xml:space="preserve">de 4.0 ±1.0%; la variación porcentual interanual del PIB real se estima de 3.5 a 4.5%; la de las exportaciones de bienes en 10.9%, la de importaciones de bienes en 15.6%, </w:t>
      </w:r>
      <w:r w:rsidR="002F600B">
        <w:rPr>
          <w:rFonts w:ascii="Futura Lt BT" w:eastAsia="Futura Lt BT" w:hAnsi="Futura Lt BT" w:cs="Futura Lt BT"/>
          <w:color w:val="auto"/>
          <w:lang w:val="es-CR"/>
        </w:rPr>
        <w:t xml:space="preserve">con lo que </w:t>
      </w:r>
      <w:r w:rsidR="00FF0D9B" w:rsidRPr="005F35B4">
        <w:rPr>
          <w:rFonts w:ascii="Futura Lt BT" w:eastAsia="Futura Lt BT" w:hAnsi="Futura Lt BT" w:cs="Futura Lt BT"/>
          <w:color w:val="auto"/>
          <w:lang w:val="es-CR"/>
        </w:rPr>
        <w:t>el resultado de la cuenta corriente de la balanza de pagos se estima en -0.7%</w:t>
      </w:r>
      <w:r w:rsidR="002F600B">
        <w:rPr>
          <w:rFonts w:ascii="Futura Lt BT" w:eastAsia="Futura Lt BT" w:hAnsi="Futura Lt BT" w:cs="Futura Lt BT"/>
          <w:color w:val="auto"/>
          <w:lang w:val="es-CR"/>
        </w:rPr>
        <w:t xml:space="preserve"> del PIB</w:t>
      </w:r>
      <w:r w:rsidR="005F35B4">
        <w:rPr>
          <w:rFonts w:ascii="Futura Lt BT" w:eastAsia="Futura Lt BT" w:hAnsi="Futura Lt BT" w:cs="Futura Lt BT"/>
          <w:color w:val="auto"/>
          <w:lang w:val="es-CR"/>
        </w:rPr>
        <w:t>;</w:t>
      </w:r>
      <w:r w:rsidR="00FF0D9B" w:rsidRPr="005F35B4">
        <w:rPr>
          <w:rFonts w:ascii="Futura Lt BT" w:eastAsia="Futura Lt BT" w:hAnsi="Futura Lt BT" w:cs="Futura Lt BT"/>
          <w:color w:val="auto"/>
          <w:lang w:val="es-CR"/>
        </w:rPr>
        <w:t xml:space="preserve"> </w:t>
      </w:r>
      <w:r w:rsidR="005F35B4">
        <w:rPr>
          <w:rFonts w:ascii="Futura Lt BT" w:eastAsia="Futura Lt BT" w:hAnsi="Futura Lt BT" w:cs="Futura Lt BT"/>
          <w:color w:val="auto"/>
          <w:lang w:val="es-CR"/>
        </w:rPr>
        <w:t>l</w:t>
      </w:r>
      <w:r w:rsidR="00FF0D9B" w:rsidRPr="005F35B4">
        <w:rPr>
          <w:rFonts w:ascii="Futura Lt BT" w:eastAsia="Futura Lt BT" w:hAnsi="Futura Lt BT" w:cs="Futura Lt BT"/>
          <w:color w:val="auto"/>
          <w:lang w:val="es-CR"/>
        </w:rPr>
        <w:t xml:space="preserve">a cobertura de reservas internacionales </w:t>
      </w:r>
      <w:r w:rsidR="005F35B4">
        <w:rPr>
          <w:rFonts w:ascii="Futura Lt BT" w:eastAsia="Futura Lt BT" w:hAnsi="Futura Lt BT" w:cs="Futura Lt BT"/>
          <w:color w:val="auto"/>
          <w:lang w:val="es-CR"/>
        </w:rPr>
        <w:t xml:space="preserve">se prevé </w:t>
      </w:r>
      <w:r w:rsidR="00FF0D9B" w:rsidRPr="005F35B4">
        <w:rPr>
          <w:rFonts w:ascii="Futura Lt BT" w:eastAsia="Futura Lt BT" w:hAnsi="Futura Lt BT" w:cs="Futura Lt BT"/>
          <w:color w:val="auto"/>
          <w:lang w:val="es-CR"/>
        </w:rPr>
        <w:t xml:space="preserve">mayor a 6 meses de importaciones; la variación porcentual interanual de los depósitos totales en las otras sociedades de depósitos (OSD) </w:t>
      </w:r>
      <w:r w:rsidR="005F35B4">
        <w:rPr>
          <w:rFonts w:ascii="Futura Lt BT" w:eastAsia="Futura Lt BT" w:hAnsi="Futura Lt BT" w:cs="Futura Lt BT"/>
          <w:color w:val="auto"/>
          <w:lang w:val="es-CR"/>
        </w:rPr>
        <w:t xml:space="preserve">se estima </w:t>
      </w:r>
      <w:r w:rsidR="00FF0D9B" w:rsidRPr="005F35B4">
        <w:rPr>
          <w:rFonts w:ascii="Futura Lt BT" w:eastAsia="Futura Lt BT" w:hAnsi="Futura Lt BT" w:cs="Futura Lt BT"/>
          <w:color w:val="auto"/>
          <w:lang w:val="es-CR"/>
        </w:rPr>
        <w:t>de 12.4% y la del crédito de las OSD al sector privado en 6.4%. Finalmente, como desafíos de corto y mediano plazo, señaló el inicio del programa de vacunación, para generar una mayor recuperación de la demanda agregada; la incertidumbre política por el año de elecciones</w:t>
      </w:r>
      <w:r w:rsidR="002D2FAA">
        <w:rPr>
          <w:rFonts w:ascii="Futura Lt BT" w:eastAsia="Futura Lt BT" w:hAnsi="Futura Lt BT" w:cs="Futura Lt BT"/>
          <w:color w:val="auto"/>
          <w:lang w:val="es-CR"/>
        </w:rPr>
        <w:t xml:space="preserve"> generales</w:t>
      </w:r>
      <w:r w:rsidR="00FF0D9B" w:rsidRPr="005F35B4">
        <w:rPr>
          <w:rFonts w:ascii="Futura Lt BT" w:eastAsia="Futura Lt BT" w:hAnsi="Futura Lt BT" w:cs="Futura Lt BT"/>
          <w:color w:val="auto"/>
          <w:lang w:val="es-CR"/>
        </w:rPr>
        <w:t xml:space="preserve">, la concentración del impacto de la crisis en algunos sectores, </w:t>
      </w:r>
      <w:r w:rsidR="006D4735" w:rsidRPr="005F35B4">
        <w:rPr>
          <w:rFonts w:ascii="Futura Lt BT" w:eastAsia="Futura Lt BT" w:hAnsi="Futura Lt BT" w:cs="Futura Lt BT"/>
          <w:color w:val="auto"/>
          <w:lang w:val="es-CR"/>
        </w:rPr>
        <w:t>la necesidad de apoy</w:t>
      </w:r>
      <w:r w:rsidR="002D2FAA">
        <w:rPr>
          <w:rFonts w:ascii="Futura Lt BT" w:eastAsia="Futura Lt BT" w:hAnsi="Futura Lt BT" w:cs="Futura Lt BT"/>
          <w:color w:val="auto"/>
          <w:lang w:val="es-CR"/>
        </w:rPr>
        <w:t xml:space="preserve">o </w:t>
      </w:r>
      <w:r w:rsidR="006D4735" w:rsidRPr="005F35B4">
        <w:rPr>
          <w:rFonts w:ascii="Futura Lt BT" w:eastAsia="Futura Lt BT" w:hAnsi="Futura Lt BT" w:cs="Futura Lt BT"/>
          <w:color w:val="auto"/>
          <w:lang w:val="es-CR"/>
        </w:rPr>
        <w:t>a la reconversión de las actividades más afectadas por el distanciamiento social</w:t>
      </w:r>
      <w:r w:rsidR="002D2FAA">
        <w:rPr>
          <w:rFonts w:ascii="Futura Lt BT" w:eastAsia="Futura Lt BT" w:hAnsi="Futura Lt BT" w:cs="Futura Lt BT"/>
          <w:color w:val="auto"/>
          <w:lang w:val="es-CR"/>
        </w:rPr>
        <w:t>,</w:t>
      </w:r>
      <w:r w:rsidR="006D4735" w:rsidRPr="005F35B4">
        <w:rPr>
          <w:rFonts w:ascii="Futura Lt BT" w:eastAsia="Futura Lt BT" w:hAnsi="Futura Lt BT" w:cs="Futura Lt BT"/>
          <w:color w:val="auto"/>
          <w:lang w:val="es-CR"/>
        </w:rPr>
        <w:t xml:space="preserve"> adecua</w:t>
      </w:r>
      <w:r w:rsidR="002D2FAA">
        <w:rPr>
          <w:rFonts w:ascii="Futura Lt BT" w:eastAsia="Futura Lt BT" w:hAnsi="Futura Lt BT" w:cs="Futura Lt BT"/>
          <w:color w:val="auto"/>
          <w:lang w:val="es-CR"/>
        </w:rPr>
        <w:t>r</w:t>
      </w:r>
      <w:r w:rsidR="006D4735" w:rsidRPr="005F35B4">
        <w:rPr>
          <w:rFonts w:ascii="Futura Lt BT" w:eastAsia="Futura Lt BT" w:hAnsi="Futura Lt BT" w:cs="Futura Lt BT"/>
          <w:color w:val="auto"/>
          <w:lang w:val="es-CR"/>
        </w:rPr>
        <w:t xml:space="preserve"> la carga financiera a las capacidades de las empresas, y un menor espacio fiscal para impulsar la recuperación, lo que implica un reto en mejorar la eficiencia y reorientación del gasto público.</w:t>
      </w:r>
    </w:p>
    <w:p w14:paraId="6B5A7F4A" w14:textId="61DB363C" w:rsidR="000E4E08" w:rsidRDefault="000E4E08" w:rsidP="00F2576C">
      <w:pPr>
        <w:pStyle w:val="Body"/>
        <w:spacing w:before="120" w:after="240" w:line="240" w:lineRule="auto"/>
        <w:ind w:firstLine="709"/>
        <w:jc w:val="both"/>
        <w:rPr>
          <w:rFonts w:ascii="Futura Lt BT" w:eastAsia="Futura Lt BT" w:hAnsi="Futura Lt BT" w:cs="Futura Lt BT"/>
          <w:lang w:val="es-CR"/>
        </w:rPr>
      </w:pPr>
      <w:r w:rsidRPr="005F35B4">
        <w:rPr>
          <w:rFonts w:ascii="Futura Lt BT" w:eastAsia="Futura Lt BT" w:hAnsi="Futura Lt BT" w:cs="Futura Lt BT"/>
          <w:lang w:val="es-CR"/>
        </w:rPr>
        <w:lastRenderedPageBreak/>
        <w:t xml:space="preserve">Luego de cada presentación los </w:t>
      </w:r>
      <w:r w:rsidR="00583511" w:rsidRPr="005F35B4">
        <w:rPr>
          <w:rFonts w:ascii="Futura Lt BT" w:eastAsia="Futura Lt BT" w:hAnsi="Futura Lt BT" w:cs="Futura Lt BT"/>
          <w:lang w:val="es-CR"/>
        </w:rPr>
        <w:t xml:space="preserve">señores </w:t>
      </w:r>
      <w:r w:rsidR="002D6B64" w:rsidRPr="005F35B4">
        <w:rPr>
          <w:rFonts w:ascii="Futura Lt BT" w:eastAsia="Futura Lt BT" w:hAnsi="Futura Lt BT" w:cs="Futura Lt BT"/>
          <w:lang w:val="es-CR"/>
        </w:rPr>
        <w:t>miembros del Consejo formularon consultas y comentarios</w:t>
      </w:r>
      <w:r w:rsidRPr="005F35B4">
        <w:rPr>
          <w:rFonts w:ascii="Futura Lt BT" w:eastAsia="Futura Lt BT" w:hAnsi="Futura Lt BT" w:cs="Futura Lt BT"/>
          <w:lang w:val="es-CR"/>
        </w:rPr>
        <w:t>. El Presidente del Consejo agradeció las presentaciones</w:t>
      </w:r>
      <w:r w:rsidR="007E717A" w:rsidRPr="005F35B4">
        <w:rPr>
          <w:rFonts w:ascii="Futura Lt BT" w:eastAsia="Futura Lt BT" w:hAnsi="Futura Lt BT" w:cs="Futura Lt BT"/>
          <w:lang w:val="es-CR"/>
        </w:rPr>
        <w:t xml:space="preserve"> de los señores Presidentes y del Gobernador.</w:t>
      </w:r>
    </w:p>
    <w:p w14:paraId="31BC7B7B" w14:textId="77777777" w:rsidR="00F00A11" w:rsidRDefault="00F00A11" w:rsidP="00F00A11">
      <w:pPr>
        <w:pStyle w:val="Body"/>
        <w:spacing w:after="0" w:line="240" w:lineRule="auto"/>
        <w:ind w:firstLine="709"/>
        <w:jc w:val="both"/>
        <w:rPr>
          <w:rFonts w:ascii="Futura Lt BT" w:eastAsia="Futura Lt BT" w:hAnsi="Futura Lt BT" w:cs="Futura Lt BT"/>
          <w:lang w:val="es-CR"/>
        </w:rPr>
      </w:pPr>
    </w:p>
    <w:p w14:paraId="15BA76CF" w14:textId="2B3E6C38" w:rsidR="00FF1F5B" w:rsidRPr="004527C4" w:rsidRDefault="00781781" w:rsidP="00F00A11">
      <w:pPr>
        <w:pStyle w:val="Body"/>
        <w:spacing w:after="0" w:line="240" w:lineRule="auto"/>
        <w:jc w:val="both"/>
        <w:rPr>
          <w:rFonts w:ascii="Futura Lt BT" w:eastAsia="Futura Lt BT" w:hAnsi="Futura Lt BT" w:cs="Futura Lt BT"/>
          <w:lang w:val="es-CR"/>
        </w:rPr>
      </w:pPr>
      <w:r w:rsidRPr="004527C4">
        <w:rPr>
          <w:rFonts w:ascii="Futura Lt BT" w:eastAsia="Futura Lt BT" w:hAnsi="Futura Lt BT" w:cs="Futura Lt BT"/>
          <w:b/>
          <w:bCs/>
          <w:lang w:val="es-CR"/>
        </w:rPr>
        <w:t>SEXTO</w:t>
      </w:r>
      <w:r w:rsidR="005C14B4" w:rsidRPr="004527C4">
        <w:rPr>
          <w:rFonts w:ascii="Futura Lt BT" w:eastAsia="Futura Lt BT" w:hAnsi="Futura Lt BT" w:cs="Futura Lt BT"/>
          <w:b/>
          <w:bCs/>
          <w:lang w:val="es-CR"/>
        </w:rPr>
        <w:t xml:space="preserve">: </w:t>
      </w:r>
      <w:r w:rsidR="00FF1F5B" w:rsidRPr="004527C4">
        <w:rPr>
          <w:rFonts w:ascii="Futura Lt BT" w:eastAsia="Futura Lt BT" w:hAnsi="Futura Lt BT" w:cs="Futura Lt BT"/>
          <w:b/>
          <w:bCs/>
          <w:lang w:val="es-CR"/>
        </w:rPr>
        <w:t>Informes de la SECMCA y asuntos administrativos</w:t>
      </w:r>
    </w:p>
    <w:p w14:paraId="3EFC0DEC" w14:textId="77777777" w:rsidR="00FF1F5B" w:rsidRPr="004527C4" w:rsidRDefault="00FF1F5B" w:rsidP="00FF1F5B">
      <w:pPr>
        <w:contextualSpacing/>
        <w:jc w:val="both"/>
        <w:rPr>
          <w:rFonts w:ascii="Futura Lt BT" w:hAnsi="Futura Lt BT"/>
          <w:sz w:val="22"/>
          <w:szCs w:val="22"/>
          <w:lang w:val="es-CR"/>
        </w:rPr>
      </w:pPr>
    </w:p>
    <w:p w14:paraId="30FA3E14" w14:textId="4E009619" w:rsidR="0002765D" w:rsidRPr="004527C4" w:rsidRDefault="0002765D" w:rsidP="00EF49B6">
      <w:pPr>
        <w:pStyle w:val="Prrafodelista"/>
        <w:numPr>
          <w:ilvl w:val="1"/>
          <w:numId w:val="15"/>
        </w:numPr>
        <w:ind w:left="709"/>
        <w:contextualSpacing/>
        <w:jc w:val="both"/>
        <w:rPr>
          <w:rFonts w:ascii="Futura Lt BT" w:hAnsi="Futura Lt BT"/>
          <w:lang w:val="es-CR"/>
        </w:rPr>
      </w:pPr>
      <w:r w:rsidRPr="004527C4">
        <w:rPr>
          <w:rFonts w:ascii="Futura Lt BT" w:hAnsi="Futura Lt BT"/>
          <w:lang w:val="es-CR"/>
        </w:rPr>
        <w:t>Informe del Comité de Auditoría del CMCA del 2020.</w:t>
      </w:r>
      <w:r w:rsidR="00D806AC" w:rsidRPr="004527C4">
        <w:rPr>
          <w:rFonts w:ascii="Futura Lt BT" w:hAnsi="Futura Lt BT"/>
          <w:lang w:val="es-CR"/>
        </w:rPr>
        <w:t xml:space="preserve"> </w:t>
      </w:r>
      <w:r w:rsidRPr="004527C4">
        <w:rPr>
          <w:rFonts w:ascii="Futura Lt BT" w:hAnsi="Futura Lt BT"/>
          <w:i/>
          <w:iCs/>
          <w:lang w:val="es-CR"/>
        </w:rPr>
        <w:t xml:space="preserve"> </w:t>
      </w:r>
    </w:p>
    <w:p w14:paraId="4C2D0CB3" w14:textId="77777777" w:rsidR="004527C4" w:rsidRDefault="00EF49B6" w:rsidP="00B35292">
      <w:pPr>
        <w:ind w:firstLine="709"/>
        <w:contextualSpacing/>
        <w:jc w:val="both"/>
        <w:rPr>
          <w:rFonts w:ascii="Futura Lt BT" w:eastAsia="Futura Lt BT" w:hAnsi="Futura Lt BT" w:cs="Futura Lt BT"/>
          <w:sz w:val="22"/>
          <w:szCs w:val="22"/>
          <w:lang w:val="es-CR"/>
        </w:rPr>
      </w:pPr>
      <w:r w:rsidRPr="004527C4">
        <w:rPr>
          <w:rFonts w:ascii="Futura Lt BT" w:hAnsi="Futura Lt BT"/>
          <w:sz w:val="22"/>
          <w:szCs w:val="22"/>
          <w:lang w:val="es-CR"/>
        </w:rPr>
        <w:t xml:space="preserve">A continuación, el Presidente del Comité de Auditoría del CMCA, señor Mauricio Guevara Guzmán, </w:t>
      </w:r>
      <w:r w:rsidR="00B35292" w:rsidRPr="004527C4">
        <w:rPr>
          <w:rFonts w:ascii="Futura Lt BT" w:eastAsia="Futura Lt BT" w:hAnsi="Futura Lt BT" w:cs="Futura Lt BT"/>
          <w:sz w:val="22"/>
          <w:szCs w:val="22"/>
          <w:lang w:val="es-CR"/>
        </w:rPr>
        <w:t xml:space="preserve">presentó el informe del Comité </w:t>
      </w:r>
      <w:r w:rsidR="00AC5B2E" w:rsidRPr="004527C4">
        <w:rPr>
          <w:rFonts w:ascii="Futura Lt BT" w:eastAsia="Futura Lt BT" w:hAnsi="Futura Lt BT" w:cs="Futura Lt BT"/>
          <w:sz w:val="22"/>
          <w:szCs w:val="22"/>
          <w:lang w:val="es-CR"/>
        </w:rPr>
        <w:t xml:space="preserve">de Auditoría </w:t>
      </w:r>
      <w:r w:rsidR="00B35292" w:rsidRPr="004527C4">
        <w:rPr>
          <w:rFonts w:ascii="Futura Lt BT" w:eastAsia="Futura Lt BT" w:hAnsi="Futura Lt BT" w:cs="Futura Lt BT"/>
          <w:sz w:val="22"/>
          <w:szCs w:val="22"/>
          <w:lang w:val="es-CR"/>
        </w:rPr>
        <w:t xml:space="preserve">correspondiente a 2020, con </w:t>
      </w:r>
      <w:r w:rsidR="00AC5B2E" w:rsidRPr="004527C4">
        <w:rPr>
          <w:rFonts w:ascii="Futura Lt BT" w:eastAsia="Futura Lt BT" w:hAnsi="Futura Lt BT" w:cs="Futura Lt BT"/>
          <w:sz w:val="22"/>
          <w:szCs w:val="22"/>
          <w:lang w:val="es-CR"/>
        </w:rPr>
        <w:t>lo</w:t>
      </w:r>
      <w:r w:rsidR="00B35292" w:rsidRPr="004527C4">
        <w:rPr>
          <w:rFonts w:ascii="Futura Lt BT" w:eastAsia="Futura Lt BT" w:hAnsi="Futura Lt BT" w:cs="Futura Lt BT"/>
          <w:sz w:val="22"/>
          <w:szCs w:val="22"/>
          <w:lang w:val="es-CR"/>
        </w:rPr>
        <w:t xml:space="preserve">s análisis y recomendaciones correspondientes. </w:t>
      </w:r>
    </w:p>
    <w:p w14:paraId="64901955" w14:textId="77777777" w:rsidR="004527C4" w:rsidRDefault="004527C4" w:rsidP="00B35292">
      <w:pPr>
        <w:ind w:firstLine="709"/>
        <w:contextualSpacing/>
        <w:jc w:val="both"/>
        <w:rPr>
          <w:rFonts w:ascii="Futura Lt BT" w:eastAsia="Futura Lt BT" w:hAnsi="Futura Lt BT" w:cs="Futura Lt BT"/>
          <w:sz w:val="22"/>
          <w:szCs w:val="22"/>
          <w:lang w:val="es-CR"/>
        </w:rPr>
      </w:pPr>
    </w:p>
    <w:p w14:paraId="2ED03A49" w14:textId="09B00B13" w:rsidR="00B35292" w:rsidRDefault="00B35292" w:rsidP="00B35292">
      <w:pPr>
        <w:ind w:firstLine="709"/>
        <w:contextualSpacing/>
        <w:jc w:val="both"/>
        <w:rPr>
          <w:rFonts w:ascii="Futura Lt BT" w:eastAsia="Futura Lt BT" w:hAnsi="Futura Lt BT" w:cs="Futura Lt BT"/>
          <w:sz w:val="22"/>
          <w:szCs w:val="22"/>
          <w:lang w:val="es-CR"/>
        </w:rPr>
      </w:pPr>
      <w:r w:rsidRPr="004527C4">
        <w:rPr>
          <w:rFonts w:ascii="Futura Lt BT" w:eastAsia="Futura Lt BT" w:hAnsi="Futura Lt BT" w:cs="Futura Lt BT"/>
          <w:sz w:val="22"/>
          <w:szCs w:val="22"/>
          <w:lang w:val="es-CR"/>
        </w:rPr>
        <w:t xml:space="preserve">El Presidente del CMCA, a nombre del Consejo, agradeció al Comité de Auditoría su trabajo y dio por recibido el informe. Los miembros del Consejo agradecieron al </w:t>
      </w:r>
      <w:r w:rsidR="00AC5B2E" w:rsidRPr="004527C4">
        <w:rPr>
          <w:rFonts w:ascii="Futura Lt BT" w:eastAsia="Futura Lt BT" w:hAnsi="Futura Lt BT" w:cs="Futura Lt BT"/>
          <w:sz w:val="22"/>
          <w:szCs w:val="22"/>
          <w:lang w:val="es-CR"/>
        </w:rPr>
        <w:t>C</w:t>
      </w:r>
      <w:r w:rsidRPr="004527C4">
        <w:rPr>
          <w:rFonts w:ascii="Futura Lt BT" w:eastAsia="Futura Lt BT" w:hAnsi="Futura Lt BT" w:cs="Futura Lt BT"/>
          <w:sz w:val="22"/>
          <w:szCs w:val="22"/>
          <w:lang w:val="es-CR"/>
        </w:rPr>
        <w:t xml:space="preserve">omité </w:t>
      </w:r>
      <w:r w:rsidR="00AC5B2E" w:rsidRPr="004527C4">
        <w:rPr>
          <w:rFonts w:ascii="Futura Lt BT" w:eastAsia="Futura Lt BT" w:hAnsi="Futura Lt BT" w:cs="Futura Lt BT"/>
          <w:sz w:val="22"/>
          <w:szCs w:val="22"/>
          <w:lang w:val="es-CR"/>
        </w:rPr>
        <w:t xml:space="preserve">de Auditoría </w:t>
      </w:r>
      <w:r w:rsidRPr="004527C4">
        <w:rPr>
          <w:rFonts w:ascii="Futura Lt BT" w:eastAsia="Futura Lt BT" w:hAnsi="Futura Lt BT" w:cs="Futura Lt BT"/>
          <w:sz w:val="22"/>
          <w:szCs w:val="22"/>
          <w:lang w:val="es-CR"/>
        </w:rPr>
        <w:t>su trabajo</w:t>
      </w:r>
      <w:r w:rsidR="00AC5B2E" w:rsidRPr="004527C4">
        <w:rPr>
          <w:rFonts w:ascii="Futura Lt BT" w:eastAsia="Futura Lt BT" w:hAnsi="Futura Lt BT" w:cs="Futura Lt BT"/>
          <w:sz w:val="22"/>
          <w:szCs w:val="22"/>
          <w:lang w:val="es-CR"/>
        </w:rPr>
        <w:t>,</w:t>
      </w:r>
      <w:r w:rsidRPr="004527C4">
        <w:rPr>
          <w:rFonts w:ascii="Futura Lt BT" w:eastAsia="Futura Lt BT" w:hAnsi="Futura Lt BT" w:cs="Futura Lt BT"/>
          <w:sz w:val="22"/>
          <w:szCs w:val="22"/>
          <w:lang w:val="es-CR"/>
        </w:rPr>
        <w:t xml:space="preserve"> y felicitaron a su </w:t>
      </w:r>
      <w:r w:rsidR="00AC5B2E" w:rsidRPr="004527C4">
        <w:rPr>
          <w:rFonts w:ascii="Futura Lt BT" w:eastAsia="Futura Lt BT" w:hAnsi="Futura Lt BT" w:cs="Futura Lt BT"/>
          <w:sz w:val="22"/>
          <w:szCs w:val="22"/>
          <w:lang w:val="es-CR"/>
        </w:rPr>
        <w:t>p</w:t>
      </w:r>
      <w:r w:rsidRPr="004527C4">
        <w:rPr>
          <w:rFonts w:ascii="Futura Lt BT" w:eastAsia="Futura Lt BT" w:hAnsi="Futura Lt BT" w:cs="Futura Lt BT"/>
          <w:sz w:val="22"/>
          <w:szCs w:val="22"/>
          <w:lang w:val="es-CR"/>
        </w:rPr>
        <w:t>residente por la presentación.</w:t>
      </w:r>
    </w:p>
    <w:p w14:paraId="41A59C9D" w14:textId="0975FC2B" w:rsidR="00E03A12" w:rsidRDefault="00E03A12" w:rsidP="00B35292">
      <w:pPr>
        <w:ind w:firstLine="709"/>
        <w:contextualSpacing/>
        <w:jc w:val="both"/>
        <w:rPr>
          <w:rFonts w:ascii="Futura Lt BT" w:eastAsia="Futura Lt BT" w:hAnsi="Futura Lt BT" w:cs="Futura Lt BT"/>
          <w:sz w:val="22"/>
          <w:szCs w:val="22"/>
          <w:lang w:val="es-CR"/>
        </w:rPr>
      </w:pPr>
    </w:p>
    <w:p w14:paraId="0E57BBE4" w14:textId="32D59AF2" w:rsidR="00E03A12" w:rsidRPr="004527C4" w:rsidRDefault="00E03A12" w:rsidP="00B35292">
      <w:pPr>
        <w:ind w:firstLine="709"/>
        <w:contextualSpacing/>
        <w:jc w:val="both"/>
        <w:rPr>
          <w:rFonts w:ascii="Futura Lt BT" w:hAnsi="Futura Lt BT"/>
          <w:sz w:val="22"/>
          <w:szCs w:val="22"/>
          <w:lang w:val="es-CR"/>
        </w:rPr>
      </w:pPr>
      <w:r>
        <w:rPr>
          <w:rFonts w:ascii="Futura Lt BT" w:eastAsia="Futura Lt BT" w:hAnsi="Futura Lt BT" w:cs="Futura Lt BT"/>
          <w:sz w:val="22"/>
          <w:szCs w:val="22"/>
          <w:lang w:val="es-CR"/>
        </w:rPr>
        <w:t>Los señores Presidentes del BCCR y del BCRES se retiraron de la reunión, debido a compromisos previos, dejando autorizados a sus representantes para votar en las decisiones del CMCA durante el resto de la reunión.</w:t>
      </w:r>
    </w:p>
    <w:p w14:paraId="39BF2F1C" w14:textId="77777777" w:rsidR="00EF49B6" w:rsidRPr="004527C4" w:rsidRDefault="00EF49B6" w:rsidP="00EF49B6">
      <w:pPr>
        <w:contextualSpacing/>
        <w:jc w:val="both"/>
        <w:rPr>
          <w:rFonts w:ascii="Futura Lt BT" w:hAnsi="Futura Lt BT"/>
          <w:sz w:val="22"/>
          <w:szCs w:val="22"/>
          <w:lang w:val="es-CR"/>
        </w:rPr>
      </w:pPr>
    </w:p>
    <w:p w14:paraId="205C0EB4" w14:textId="77777777" w:rsidR="00CB27B9" w:rsidRPr="004527C4" w:rsidRDefault="00D806AC" w:rsidP="00CB27B9">
      <w:pPr>
        <w:pStyle w:val="Prrafodelista"/>
        <w:numPr>
          <w:ilvl w:val="1"/>
          <w:numId w:val="15"/>
        </w:numPr>
        <w:ind w:left="709"/>
        <w:contextualSpacing/>
        <w:jc w:val="both"/>
        <w:rPr>
          <w:rFonts w:ascii="Futura Lt BT" w:hAnsi="Futura Lt BT"/>
          <w:lang w:val="es-CR"/>
        </w:rPr>
      </w:pPr>
      <w:r w:rsidRPr="004527C4">
        <w:rPr>
          <w:rFonts w:ascii="Futura Lt BT" w:hAnsi="Futura Lt BT"/>
          <w:lang w:val="es-CR"/>
        </w:rPr>
        <w:t>Informe y aprobación de liquidación presupuestaria de la SECMCA periodo 2020</w:t>
      </w:r>
    </w:p>
    <w:p w14:paraId="50009835" w14:textId="2D76DE0D" w:rsidR="00CB27B9" w:rsidRPr="004527C4" w:rsidRDefault="00CB27B9" w:rsidP="00CB27B9">
      <w:pPr>
        <w:ind w:firstLine="709"/>
        <w:contextualSpacing/>
        <w:jc w:val="both"/>
        <w:rPr>
          <w:rFonts w:ascii="Futura Lt BT" w:eastAsia="Futura Lt BT" w:hAnsi="Futura Lt BT" w:cs="Futura Lt BT"/>
          <w:sz w:val="22"/>
          <w:szCs w:val="22"/>
          <w:lang w:val="es-CR"/>
        </w:rPr>
      </w:pPr>
      <w:r w:rsidRPr="004527C4">
        <w:rPr>
          <w:rFonts w:ascii="Futura Lt BT" w:eastAsia="Futura Lt BT" w:hAnsi="Futura Lt BT" w:cs="Futura Lt BT"/>
          <w:sz w:val="22"/>
          <w:szCs w:val="22"/>
          <w:lang w:val="es-CR"/>
        </w:rPr>
        <w:t>A continuación, el Secretario Ejecutivo presentó el Informe de Liquidación Presupuestaria de la SECMCA correspondiente a 2020, validad</w:t>
      </w:r>
      <w:r w:rsidR="00F00A11">
        <w:rPr>
          <w:rFonts w:ascii="Futura Lt BT" w:eastAsia="Futura Lt BT" w:hAnsi="Futura Lt BT" w:cs="Futura Lt BT"/>
          <w:sz w:val="22"/>
          <w:szCs w:val="22"/>
          <w:lang w:val="es-CR"/>
        </w:rPr>
        <w:t>o</w:t>
      </w:r>
      <w:r w:rsidRPr="004527C4">
        <w:rPr>
          <w:rFonts w:ascii="Futura Lt BT" w:eastAsia="Futura Lt BT" w:hAnsi="Futura Lt BT" w:cs="Futura Lt BT"/>
          <w:sz w:val="22"/>
          <w:szCs w:val="22"/>
          <w:lang w:val="es-CR"/>
        </w:rPr>
        <w:t xml:space="preserve"> por las auditorías. El Presidente del Consejo agradeció la presentación y sometió a aprobación </w:t>
      </w:r>
      <w:r w:rsidR="00D368DD" w:rsidRPr="004527C4">
        <w:rPr>
          <w:rFonts w:ascii="Futura Lt BT" w:eastAsia="Futura Lt BT" w:hAnsi="Futura Lt BT" w:cs="Futura Lt BT"/>
          <w:sz w:val="22"/>
          <w:szCs w:val="22"/>
          <w:lang w:val="es-CR"/>
        </w:rPr>
        <w:t xml:space="preserve">del Consejo </w:t>
      </w:r>
      <w:r w:rsidRPr="004527C4">
        <w:rPr>
          <w:rFonts w:ascii="Futura Lt BT" w:eastAsia="Futura Lt BT" w:hAnsi="Futura Lt BT" w:cs="Futura Lt BT"/>
          <w:sz w:val="22"/>
          <w:szCs w:val="22"/>
          <w:lang w:val="es-CR"/>
        </w:rPr>
        <w:t>el Acuerdo CMCA-139-03-21, mediante el cual se aprueba la liquidación presupuestaria de la SECMCA y los estados financieros de la SECMCA y del FOCEM correspondientes a 2020</w:t>
      </w:r>
      <w:r w:rsidR="00D368DD" w:rsidRPr="004527C4">
        <w:rPr>
          <w:rFonts w:ascii="Futura Lt BT" w:eastAsia="Futura Lt BT" w:hAnsi="Futura Lt BT" w:cs="Futura Lt BT"/>
          <w:sz w:val="22"/>
          <w:szCs w:val="22"/>
          <w:lang w:val="es-CR"/>
        </w:rPr>
        <w:t>. El Consejo aprobó por unanimidad de votos el citado Acuerdo</w:t>
      </w:r>
      <w:r w:rsidRPr="004527C4">
        <w:rPr>
          <w:rFonts w:ascii="Futura Lt BT" w:eastAsia="Futura Lt BT" w:hAnsi="Futura Lt BT" w:cs="Futura Lt BT"/>
          <w:sz w:val="22"/>
          <w:szCs w:val="22"/>
          <w:lang w:val="es-CR"/>
        </w:rPr>
        <w:t>, el cual se adjunta como anexo a la presente acta.</w:t>
      </w:r>
    </w:p>
    <w:p w14:paraId="6D355BDE" w14:textId="33124996" w:rsidR="002B417A" w:rsidRPr="004527C4" w:rsidRDefault="002B417A" w:rsidP="00CB27B9">
      <w:pPr>
        <w:ind w:firstLine="709"/>
        <w:contextualSpacing/>
        <w:jc w:val="both"/>
        <w:rPr>
          <w:rFonts w:ascii="Futura Lt BT" w:eastAsia="Futura Lt BT" w:hAnsi="Futura Lt BT" w:cs="Futura Lt BT"/>
          <w:sz w:val="22"/>
          <w:szCs w:val="22"/>
          <w:lang w:val="es-CR"/>
        </w:rPr>
      </w:pPr>
    </w:p>
    <w:p w14:paraId="5F9DD5BC" w14:textId="1E9D47E7" w:rsidR="002B417A" w:rsidRPr="004527C4" w:rsidRDefault="002B417A" w:rsidP="00CB27B9">
      <w:pPr>
        <w:ind w:firstLine="709"/>
        <w:contextualSpacing/>
        <w:jc w:val="both"/>
        <w:rPr>
          <w:rFonts w:ascii="Futura Lt BT" w:hAnsi="Futura Lt BT" w:cs="Arial Unicode MS"/>
          <w:sz w:val="22"/>
          <w:szCs w:val="22"/>
          <w:lang w:val="es-CR"/>
        </w:rPr>
      </w:pPr>
      <w:r w:rsidRPr="004527C4">
        <w:rPr>
          <w:rFonts w:ascii="Futura Lt BT" w:eastAsia="Futura Lt BT" w:hAnsi="Futura Lt BT" w:cs="Futura Lt BT"/>
          <w:sz w:val="22"/>
          <w:szCs w:val="22"/>
          <w:lang w:val="es-CR"/>
        </w:rPr>
        <w:t xml:space="preserve">Considerando que se había agotado el tiempo disponible para la reunión, el Consejo acordó que </w:t>
      </w:r>
      <w:r w:rsidR="007D71FE" w:rsidRPr="004527C4">
        <w:rPr>
          <w:rFonts w:ascii="Futura Lt BT" w:eastAsia="Futura Lt BT" w:hAnsi="Futura Lt BT" w:cs="Futura Lt BT"/>
          <w:sz w:val="22"/>
          <w:szCs w:val="22"/>
          <w:lang w:val="es-CR"/>
        </w:rPr>
        <w:t>el</w:t>
      </w:r>
      <w:r w:rsidRPr="004527C4">
        <w:rPr>
          <w:rFonts w:ascii="Futura Lt BT" w:eastAsia="Futura Lt BT" w:hAnsi="Futura Lt BT" w:cs="Futura Lt BT"/>
          <w:sz w:val="22"/>
          <w:szCs w:val="22"/>
          <w:lang w:val="es-CR"/>
        </w:rPr>
        <w:t xml:space="preserve"> tema pendiente </w:t>
      </w:r>
      <w:r w:rsidR="007D71FE" w:rsidRPr="004527C4">
        <w:rPr>
          <w:rFonts w:ascii="Futura Lt BT" w:eastAsia="Futura Lt BT" w:hAnsi="Futura Lt BT" w:cs="Futura Lt BT"/>
          <w:sz w:val="22"/>
          <w:szCs w:val="22"/>
          <w:lang w:val="es-CR"/>
        </w:rPr>
        <w:t>en este apartado</w:t>
      </w:r>
      <w:r w:rsidR="004527C4">
        <w:rPr>
          <w:rFonts w:ascii="Futura Lt BT" w:eastAsia="Futura Lt BT" w:hAnsi="Futura Lt BT" w:cs="Futura Lt BT"/>
          <w:sz w:val="22"/>
          <w:szCs w:val="22"/>
          <w:lang w:val="es-CR"/>
        </w:rPr>
        <w:t xml:space="preserve"> de la agenda</w:t>
      </w:r>
      <w:r w:rsidR="003A6873" w:rsidRPr="004527C4">
        <w:rPr>
          <w:rFonts w:ascii="Futura Lt BT" w:eastAsia="Futura Lt BT" w:hAnsi="Futura Lt BT" w:cs="Futura Lt BT"/>
          <w:sz w:val="22"/>
          <w:szCs w:val="22"/>
          <w:lang w:val="es-CR"/>
        </w:rPr>
        <w:t xml:space="preserve">, relativo a la </w:t>
      </w:r>
      <w:r w:rsidR="003A6873" w:rsidRPr="005101EB">
        <w:rPr>
          <w:rFonts w:ascii="Futura Lt BT" w:eastAsia="Futura Lt BT" w:hAnsi="Futura Lt BT" w:cs="Futura Lt BT"/>
          <w:i/>
          <w:iCs/>
          <w:sz w:val="22"/>
          <w:szCs w:val="22"/>
          <w:lang w:val="es-CR"/>
        </w:rPr>
        <w:t>solicitud del Comité de Política Monetaria para la transformación del Comité Editorial de RECARD en Comisión de Investigación</w:t>
      </w:r>
      <w:r w:rsidR="003A6873" w:rsidRPr="004527C4">
        <w:rPr>
          <w:rFonts w:ascii="Futura Lt BT" w:eastAsia="Futura Lt BT" w:hAnsi="Futura Lt BT" w:cs="Futura Lt BT"/>
          <w:sz w:val="22"/>
          <w:szCs w:val="22"/>
          <w:lang w:val="es-CR"/>
        </w:rPr>
        <w:t xml:space="preserve">, </w:t>
      </w:r>
      <w:r w:rsidR="007D71FE" w:rsidRPr="004527C4">
        <w:rPr>
          <w:rFonts w:ascii="Futura Lt BT" w:eastAsia="Futura Lt BT" w:hAnsi="Futura Lt BT" w:cs="Futura Lt BT"/>
          <w:sz w:val="22"/>
          <w:szCs w:val="22"/>
          <w:lang w:val="es-CR"/>
        </w:rPr>
        <w:t>fuera</w:t>
      </w:r>
      <w:r w:rsidRPr="004527C4">
        <w:rPr>
          <w:rFonts w:ascii="Futura Lt BT" w:eastAsia="Futura Lt BT" w:hAnsi="Futura Lt BT" w:cs="Futura Lt BT"/>
          <w:sz w:val="22"/>
          <w:szCs w:val="22"/>
          <w:lang w:val="es-CR"/>
        </w:rPr>
        <w:t xml:space="preserve"> sometido a conocimiento y aprobación de los miembros del C</w:t>
      </w:r>
      <w:r w:rsidR="003A6873" w:rsidRPr="004527C4">
        <w:rPr>
          <w:rFonts w:ascii="Futura Lt BT" w:eastAsia="Futura Lt BT" w:hAnsi="Futura Lt BT" w:cs="Futura Lt BT"/>
          <w:sz w:val="22"/>
          <w:szCs w:val="22"/>
          <w:lang w:val="es-CR"/>
        </w:rPr>
        <w:t xml:space="preserve">onsejo </w:t>
      </w:r>
      <w:r w:rsidRPr="004527C4">
        <w:rPr>
          <w:rFonts w:ascii="Futura Lt BT" w:eastAsia="Futura Lt BT" w:hAnsi="Futura Lt BT" w:cs="Futura Lt BT"/>
          <w:sz w:val="22"/>
          <w:szCs w:val="22"/>
          <w:lang w:val="es-CR"/>
        </w:rPr>
        <w:t>por vía remota.</w:t>
      </w:r>
    </w:p>
    <w:p w14:paraId="5E79CB87" w14:textId="77777777" w:rsidR="00D806AC" w:rsidRPr="004527C4" w:rsidRDefault="00D806AC" w:rsidP="00D806AC">
      <w:pPr>
        <w:contextualSpacing/>
        <w:jc w:val="both"/>
        <w:rPr>
          <w:rFonts w:ascii="Futura Lt BT" w:hAnsi="Futura Lt BT"/>
          <w:sz w:val="22"/>
          <w:szCs w:val="22"/>
          <w:lang w:val="es-CR"/>
        </w:rPr>
      </w:pPr>
    </w:p>
    <w:p w14:paraId="7130AD9A" w14:textId="11C66D65" w:rsidR="00D806AC" w:rsidRPr="004527C4" w:rsidRDefault="002F318C" w:rsidP="00D806AC">
      <w:pPr>
        <w:contextualSpacing/>
        <w:jc w:val="both"/>
        <w:rPr>
          <w:rFonts w:ascii="Futura Lt BT" w:hAnsi="Futura Lt BT"/>
          <w:sz w:val="22"/>
          <w:szCs w:val="22"/>
          <w:lang w:val="es-CR"/>
        </w:rPr>
      </w:pPr>
      <w:r w:rsidRPr="004527C4">
        <w:rPr>
          <w:rFonts w:ascii="Futura Lt BT" w:hAnsi="Futura Lt BT"/>
          <w:b/>
          <w:bCs/>
          <w:sz w:val="22"/>
          <w:szCs w:val="22"/>
          <w:lang w:val="es-CR"/>
        </w:rPr>
        <w:t>SÉPTIMO</w:t>
      </w:r>
      <w:r w:rsidR="00D806AC" w:rsidRPr="004527C4">
        <w:rPr>
          <w:rFonts w:ascii="Futura Lt BT" w:hAnsi="Futura Lt BT"/>
          <w:b/>
          <w:bCs/>
          <w:sz w:val="22"/>
          <w:szCs w:val="22"/>
          <w:lang w:val="es-CR"/>
        </w:rPr>
        <w:t>: Asuntos varios</w:t>
      </w:r>
      <w:r w:rsidR="00D806AC" w:rsidRPr="004527C4">
        <w:rPr>
          <w:rFonts w:ascii="Futura Lt BT" w:hAnsi="Futura Lt BT"/>
          <w:sz w:val="22"/>
          <w:szCs w:val="22"/>
          <w:lang w:val="es-CR"/>
        </w:rPr>
        <w:t xml:space="preserve"> </w:t>
      </w:r>
    </w:p>
    <w:p w14:paraId="69225857" w14:textId="77777777" w:rsidR="002F318C" w:rsidRPr="004527C4" w:rsidRDefault="002F318C" w:rsidP="002F318C">
      <w:pPr>
        <w:contextualSpacing/>
        <w:jc w:val="both"/>
        <w:rPr>
          <w:rFonts w:ascii="Futura Lt BT" w:hAnsi="Futura Lt BT"/>
          <w:sz w:val="22"/>
          <w:szCs w:val="22"/>
          <w:lang w:val="es-CR"/>
        </w:rPr>
      </w:pPr>
    </w:p>
    <w:p w14:paraId="7380F217" w14:textId="08A12682" w:rsidR="00D806AC" w:rsidRPr="004527C4" w:rsidRDefault="00D806AC" w:rsidP="00F00A11">
      <w:pPr>
        <w:pStyle w:val="Prrafodelista"/>
        <w:numPr>
          <w:ilvl w:val="0"/>
          <w:numId w:val="19"/>
        </w:numPr>
        <w:spacing w:line="240" w:lineRule="auto"/>
        <w:ind w:left="714" w:hanging="357"/>
        <w:contextualSpacing/>
        <w:jc w:val="both"/>
        <w:rPr>
          <w:rFonts w:ascii="Futura Lt BT" w:hAnsi="Futura Lt BT"/>
          <w:lang w:val="es-CR"/>
        </w:rPr>
      </w:pPr>
      <w:r w:rsidRPr="004527C4">
        <w:rPr>
          <w:rFonts w:ascii="Futura Lt BT" w:hAnsi="Futura Lt BT"/>
          <w:lang w:val="es-CR"/>
        </w:rPr>
        <w:t xml:space="preserve">Gestión de la </w:t>
      </w:r>
      <w:r w:rsidR="00F00A11">
        <w:rPr>
          <w:rFonts w:ascii="Futura Lt BT" w:hAnsi="Futura Lt BT"/>
          <w:lang w:val="es-CR"/>
        </w:rPr>
        <w:t>Secretaría General del Sistema de la Integración Centroamericana (</w:t>
      </w:r>
      <w:r w:rsidRPr="004527C4">
        <w:rPr>
          <w:rFonts w:ascii="Futura Lt BT" w:hAnsi="Futura Lt BT"/>
          <w:lang w:val="es-CR"/>
        </w:rPr>
        <w:t>SG-SICA</w:t>
      </w:r>
      <w:r w:rsidR="00F00A11">
        <w:rPr>
          <w:rFonts w:ascii="Futura Lt BT" w:hAnsi="Futura Lt BT"/>
          <w:lang w:val="es-CR"/>
        </w:rPr>
        <w:t>)</w:t>
      </w:r>
      <w:r w:rsidRPr="004527C4">
        <w:rPr>
          <w:rFonts w:ascii="Futura Lt BT" w:hAnsi="Futura Lt BT"/>
          <w:lang w:val="es-CR"/>
        </w:rPr>
        <w:t xml:space="preserve"> ante los bancos centrales sobre monedas conmemorativas del bicentenario de independencia de cinco repúblicas de Centroamérica (1821-2021).</w:t>
      </w:r>
    </w:p>
    <w:p w14:paraId="2713E388" w14:textId="377629BD" w:rsidR="002F318C" w:rsidRPr="004527C4" w:rsidRDefault="002F318C" w:rsidP="002F318C">
      <w:pPr>
        <w:ind w:firstLine="709"/>
        <w:contextualSpacing/>
        <w:jc w:val="both"/>
        <w:rPr>
          <w:rFonts w:ascii="Futura Lt BT" w:hAnsi="Futura Lt BT"/>
          <w:sz w:val="22"/>
          <w:szCs w:val="22"/>
          <w:lang w:val="es-CR"/>
        </w:rPr>
      </w:pPr>
      <w:r w:rsidRPr="004527C4">
        <w:rPr>
          <w:rFonts w:ascii="Futura Lt BT" w:hAnsi="Futura Lt BT"/>
          <w:sz w:val="22"/>
          <w:szCs w:val="22"/>
          <w:lang w:val="es-CR"/>
        </w:rPr>
        <w:t xml:space="preserve">La Secretaría hizo una presentación de la gestión de la SG-SICA mediante la cual solicitó el apoyo financiero de los bancos centrales de </w:t>
      </w:r>
      <w:r w:rsidR="00F00A11">
        <w:rPr>
          <w:rFonts w:ascii="Futura Lt BT" w:hAnsi="Futura Lt BT"/>
          <w:sz w:val="22"/>
          <w:szCs w:val="22"/>
          <w:lang w:val="es-CR"/>
        </w:rPr>
        <w:t xml:space="preserve">Centroamérica </w:t>
      </w:r>
      <w:r w:rsidRPr="004527C4">
        <w:rPr>
          <w:rFonts w:ascii="Futura Lt BT" w:hAnsi="Futura Lt BT"/>
          <w:sz w:val="22"/>
          <w:szCs w:val="22"/>
          <w:lang w:val="es-CR"/>
        </w:rPr>
        <w:t>para la emisión de monedas o de medallas conmemorativas del bicentenario de independencia de cinco repúblicas de Centroamérica, a celebrarse en el mes de septiembre del presente año. Sobre esta gestión se recibieron opiniones escritas de los bancos centrales de El Salvador y de Honduras. La SECMCA expuso su</w:t>
      </w:r>
      <w:r w:rsidR="007D71FE" w:rsidRPr="004527C4">
        <w:rPr>
          <w:rFonts w:ascii="Futura Lt BT" w:hAnsi="Futura Lt BT"/>
          <w:sz w:val="22"/>
          <w:szCs w:val="22"/>
          <w:lang w:val="es-CR"/>
        </w:rPr>
        <w:t>s</w:t>
      </w:r>
      <w:r w:rsidRPr="004527C4">
        <w:rPr>
          <w:rFonts w:ascii="Futura Lt BT" w:hAnsi="Futura Lt BT"/>
          <w:sz w:val="22"/>
          <w:szCs w:val="22"/>
          <w:lang w:val="es-CR"/>
        </w:rPr>
        <w:t xml:space="preserve"> criterio</w:t>
      </w:r>
      <w:r w:rsidR="007D71FE" w:rsidRPr="004527C4">
        <w:rPr>
          <w:rFonts w:ascii="Futura Lt BT" w:hAnsi="Futura Lt BT"/>
          <w:sz w:val="22"/>
          <w:szCs w:val="22"/>
          <w:lang w:val="es-CR"/>
        </w:rPr>
        <w:t>s</w:t>
      </w:r>
      <w:r w:rsidRPr="004527C4">
        <w:rPr>
          <w:rFonts w:ascii="Futura Lt BT" w:hAnsi="Futura Lt BT"/>
          <w:sz w:val="22"/>
          <w:szCs w:val="22"/>
          <w:lang w:val="es-CR"/>
        </w:rPr>
        <w:t xml:space="preserve"> sobre esa gestión</w:t>
      </w:r>
      <w:r w:rsidR="007D71FE" w:rsidRPr="004527C4">
        <w:rPr>
          <w:rFonts w:ascii="Futura Lt BT" w:hAnsi="Futura Lt BT"/>
          <w:sz w:val="22"/>
          <w:szCs w:val="22"/>
          <w:lang w:val="es-CR"/>
        </w:rPr>
        <w:t xml:space="preserve">, </w:t>
      </w:r>
      <w:r w:rsidRPr="004527C4">
        <w:rPr>
          <w:rFonts w:ascii="Futura Lt BT" w:hAnsi="Futura Lt BT"/>
          <w:sz w:val="22"/>
          <w:szCs w:val="22"/>
          <w:lang w:val="es-CR"/>
        </w:rPr>
        <w:t xml:space="preserve">y su recomendación. El Presidente del Consejo agradeció la presentación y sometió a votación el punto. Unánimemente el Consejo decidió acoger la recomendación </w:t>
      </w:r>
      <w:r w:rsidR="004527C4">
        <w:rPr>
          <w:rFonts w:ascii="Futura Lt BT" w:hAnsi="Futura Lt BT"/>
          <w:sz w:val="22"/>
          <w:szCs w:val="22"/>
          <w:lang w:val="es-CR"/>
        </w:rPr>
        <w:t xml:space="preserve">de la SECMCA </w:t>
      </w:r>
      <w:r w:rsidRPr="004527C4">
        <w:rPr>
          <w:rFonts w:ascii="Futura Lt BT" w:hAnsi="Futura Lt BT"/>
          <w:sz w:val="22"/>
          <w:szCs w:val="22"/>
          <w:lang w:val="es-CR"/>
        </w:rPr>
        <w:t xml:space="preserve">y </w:t>
      </w:r>
      <w:r w:rsidR="007D71FE" w:rsidRPr="004527C4">
        <w:rPr>
          <w:rFonts w:ascii="Futura Lt BT" w:hAnsi="Futura Lt BT"/>
          <w:sz w:val="22"/>
          <w:szCs w:val="22"/>
          <w:lang w:val="es-CR"/>
        </w:rPr>
        <w:t>declinar respetuosamente la propuesta de la S</w:t>
      </w:r>
      <w:r w:rsidR="004527C4">
        <w:rPr>
          <w:rFonts w:ascii="Futura Lt BT" w:hAnsi="Futura Lt BT"/>
          <w:sz w:val="22"/>
          <w:szCs w:val="22"/>
          <w:lang w:val="es-CR"/>
        </w:rPr>
        <w:t>G-SICA</w:t>
      </w:r>
      <w:r w:rsidR="007D71FE" w:rsidRPr="004527C4">
        <w:rPr>
          <w:rFonts w:ascii="Futura Lt BT" w:hAnsi="Futura Lt BT"/>
          <w:sz w:val="22"/>
          <w:szCs w:val="22"/>
          <w:lang w:val="es-CR"/>
        </w:rPr>
        <w:t>.</w:t>
      </w:r>
    </w:p>
    <w:p w14:paraId="036737C4" w14:textId="77777777" w:rsidR="002F318C" w:rsidRPr="004527C4" w:rsidRDefault="002F318C" w:rsidP="002F318C">
      <w:pPr>
        <w:ind w:left="709"/>
        <w:contextualSpacing/>
        <w:jc w:val="both"/>
        <w:rPr>
          <w:rFonts w:ascii="Futura Lt BT" w:hAnsi="Futura Lt BT"/>
          <w:sz w:val="22"/>
          <w:szCs w:val="22"/>
          <w:lang w:val="es-CR"/>
        </w:rPr>
      </w:pPr>
    </w:p>
    <w:p w14:paraId="4057E8A2" w14:textId="0BDFE1D2" w:rsidR="007D71FE" w:rsidRPr="00AC4174" w:rsidRDefault="007D71FE" w:rsidP="003A6873">
      <w:pPr>
        <w:ind w:firstLine="709"/>
        <w:contextualSpacing/>
        <w:jc w:val="both"/>
        <w:rPr>
          <w:rFonts w:ascii="Futura Lt BT" w:eastAsia="Futura Lt BT" w:hAnsi="Futura Lt BT" w:cs="Futura Lt BT"/>
          <w:sz w:val="22"/>
          <w:szCs w:val="22"/>
          <w:lang w:val="es-CR"/>
        </w:rPr>
      </w:pPr>
      <w:r w:rsidRPr="00AC4174">
        <w:rPr>
          <w:rFonts w:ascii="Futura Lt BT" w:eastAsia="Futura Lt BT" w:hAnsi="Futura Lt BT" w:cs="Futura Lt BT"/>
          <w:sz w:val="22"/>
          <w:szCs w:val="22"/>
          <w:lang w:val="es-CR"/>
        </w:rPr>
        <w:lastRenderedPageBreak/>
        <w:t xml:space="preserve">Considerando que se había agotado el tiempo disponible para la reunión, el Consejo acordó que los demás temas que </w:t>
      </w:r>
      <w:r w:rsidR="004527C4" w:rsidRPr="00AC4174">
        <w:rPr>
          <w:rFonts w:ascii="Futura Lt BT" w:eastAsia="Futura Lt BT" w:hAnsi="Futura Lt BT" w:cs="Futura Lt BT"/>
          <w:sz w:val="22"/>
          <w:szCs w:val="22"/>
          <w:lang w:val="es-CR"/>
        </w:rPr>
        <w:t>quedaban</w:t>
      </w:r>
      <w:r w:rsidRPr="00AC4174">
        <w:rPr>
          <w:rFonts w:ascii="Futura Lt BT" w:eastAsia="Futura Lt BT" w:hAnsi="Futura Lt BT" w:cs="Futura Lt BT"/>
          <w:sz w:val="22"/>
          <w:szCs w:val="22"/>
          <w:lang w:val="es-CR"/>
        </w:rPr>
        <w:t xml:space="preserve"> pendientes </w:t>
      </w:r>
      <w:r w:rsidR="003A6873" w:rsidRPr="00AC4174">
        <w:rPr>
          <w:rFonts w:ascii="Futura Lt BT" w:eastAsia="Futura Lt BT" w:hAnsi="Futura Lt BT" w:cs="Futura Lt BT"/>
          <w:sz w:val="22"/>
          <w:szCs w:val="22"/>
          <w:lang w:val="es-CR"/>
        </w:rPr>
        <w:t xml:space="preserve">en este apartado de la agenda, relativos a la </w:t>
      </w:r>
      <w:r w:rsidR="003A6873" w:rsidRPr="00AC4174">
        <w:rPr>
          <w:rFonts w:ascii="Futura Lt BT" w:eastAsia="Futura Lt BT" w:hAnsi="Futura Lt BT" w:cs="Futura Lt BT"/>
          <w:i/>
          <w:iCs/>
          <w:sz w:val="22"/>
          <w:szCs w:val="22"/>
          <w:lang w:val="es-CR"/>
        </w:rPr>
        <w:t xml:space="preserve">propuesta de la Secretaría del </w:t>
      </w:r>
      <w:r w:rsidR="00AC4174" w:rsidRPr="00AC4174">
        <w:rPr>
          <w:rFonts w:ascii="Futura Lt BT" w:eastAsia="Times New Roman" w:hAnsi="Futura Lt BT"/>
          <w:i/>
          <w:iCs/>
          <w:color w:val="000000"/>
          <w:sz w:val="22"/>
          <w:szCs w:val="22"/>
          <w:lang w:val="es-SV"/>
        </w:rPr>
        <w:t>Consejo Centroamericano de Superintendentes de Bancos, de Seguros y de Otras Instituciones Financieras (CCSBSO)</w:t>
      </w:r>
      <w:r w:rsidR="004527C4" w:rsidRPr="00AC4174">
        <w:rPr>
          <w:rFonts w:ascii="Futura Lt BT" w:eastAsia="Futura Lt BT" w:hAnsi="Futura Lt BT" w:cs="Futura Lt BT"/>
          <w:i/>
          <w:iCs/>
          <w:sz w:val="22"/>
          <w:szCs w:val="22"/>
          <w:lang w:val="es-CR"/>
        </w:rPr>
        <w:t xml:space="preserve"> </w:t>
      </w:r>
      <w:r w:rsidR="003A6873" w:rsidRPr="00AC4174">
        <w:rPr>
          <w:rFonts w:ascii="Futura Lt BT" w:eastAsia="Futura Lt BT" w:hAnsi="Futura Lt BT" w:cs="Futura Lt BT"/>
          <w:i/>
          <w:iCs/>
          <w:sz w:val="22"/>
          <w:szCs w:val="22"/>
          <w:lang w:val="es-CR"/>
        </w:rPr>
        <w:t>para fecha de próxima reunión conjunta (extraordinaria) el 20 de agosto de 2021</w:t>
      </w:r>
      <w:r w:rsidR="003A6873" w:rsidRPr="00AC4174">
        <w:rPr>
          <w:rFonts w:ascii="Futura Lt BT" w:eastAsia="Futura Lt BT" w:hAnsi="Futura Lt BT" w:cs="Futura Lt BT"/>
          <w:sz w:val="22"/>
          <w:szCs w:val="22"/>
          <w:lang w:val="es-CR"/>
        </w:rPr>
        <w:t xml:space="preserve">, así como </w:t>
      </w:r>
      <w:r w:rsidR="003A6873" w:rsidRPr="00AC4174">
        <w:rPr>
          <w:rFonts w:ascii="Futura Lt BT" w:eastAsia="Futura Lt BT" w:hAnsi="Futura Lt BT" w:cs="Futura Lt BT"/>
          <w:i/>
          <w:iCs/>
          <w:sz w:val="22"/>
          <w:szCs w:val="22"/>
          <w:lang w:val="es-CR"/>
        </w:rPr>
        <w:t xml:space="preserve">la propuesta del BCH para realizar un conversatorio sobre pensamiento económico </w:t>
      </w:r>
      <w:r w:rsidR="00214100" w:rsidRPr="00AC4174">
        <w:rPr>
          <w:rFonts w:ascii="Futura Lt BT" w:eastAsia="Futura Lt BT" w:hAnsi="Futura Lt BT" w:cs="Futura Lt BT"/>
          <w:i/>
          <w:iCs/>
          <w:sz w:val="22"/>
          <w:szCs w:val="22"/>
          <w:lang w:val="es-CR"/>
        </w:rPr>
        <w:t>desde</w:t>
      </w:r>
      <w:r w:rsidR="003A6873" w:rsidRPr="00AC4174">
        <w:rPr>
          <w:rFonts w:ascii="Futura Lt BT" w:eastAsia="Futura Lt BT" w:hAnsi="Futura Lt BT" w:cs="Futura Lt BT"/>
          <w:i/>
          <w:iCs/>
          <w:sz w:val="22"/>
          <w:szCs w:val="22"/>
          <w:lang w:val="es-CR"/>
        </w:rPr>
        <w:t xml:space="preserve"> la época de la independencia de Centroamérica en septiembre</w:t>
      </w:r>
      <w:r w:rsidR="003A6873" w:rsidRPr="00AC4174">
        <w:rPr>
          <w:rFonts w:ascii="Futura Lt BT" w:eastAsia="Futura Lt BT" w:hAnsi="Futura Lt BT" w:cs="Futura Lt BT"/>
          <w:sz w:val="22"/>
          <w:szCs w:val="22"/>
          <w:lang w:val="es-CR"/>
        </w:rPr>
        <w:t xml:space="preserve">, </w:t>
      </w:r>
      <w:r w:rsidRPr="00AC4174">
        <w:rPr>
          <w:rFonts w:ascii="Futura Lt BT" w:eastAsia="Futura Lt BT" w:hAnsi="Futura Lt BT" w:cs="Futura Lt BT"/>
          <w:sz w:val="22"/>
          <w:szCs w:val="22"/>
          <w:lang w:val="es-CR"/>
        </w:rPr>
        <w:t>fueran sometidos a conocimiento y aprobación de los miembros del C</w:t>
      </w:r>
      <w:r w:rsidR="003A6873" w:rsidRPr="00AC4174">
        <w:rPr>
          <w:rFonts w:ascii="Futura Lt BT" w:eastAsia="Futura Lt BT" w:hAnsi="Futura Lt BT" w:cs="Futura Lt BT"/>
          <w:sz w:val="22"/>
          <w:szCs w:val="22"/>
          <w:lang w:val="es-CR"/>
        </w:rPr>
        <w:t>onsejo</w:t>
      </w:r>
      <w:r w:rsidRPr="00AC4174">
        <w:rPr>
          <w:rFonts w:ascii="Futura Lt BT" w:eastAsia="Futura Lt BT" w:hAnsi="Futura Lt BT" w:cs="Futura Lt BT"/>
          <w:sz w:val="22"/>
          <w:szCs w:val="22"/>
          <w:lang w:val="es-CR"/>
        </w:rPr>
        <w:t xml:space="preserve"> por vía remota.</w:t>
      </w:r>
    </w:p>
    <w:p w14:paraId="79738D65" w14:textId="77777777" w:rsidR="00F00A11" w:rsidRDefault="00F00A11" w:rsidP="00F00A11">
      <w:pPr>
        <w:pStyle w:val="Body"/>
        <w:spacing w:after="0" w:line="240" w:lineRule="auto"/>
        <w:jc w:val="both"/>
        <w:rPr>
          <w:rFonts w:ascii="Futura Lt BT" w:eastAsia="Futura Lt BT" w:hAnsi="Futura Lt BT" w:cs="Futura Lt BT"/>
          <w:b/>
          <w:bCs/>
          <w:lang w:val="es-CR"/>
        </w:rPr>
      </w:pPr>
    </w:p>
    <w:p w14:paraId="25D072C2" w14:textId="23972BAF" w:rsidR="005101EB" w:rsidRPr="005101EB" w:rsidRDefault="00D806AC" w:rsidP="00F00A11">
      <w:pPr>
        <w:pStyle w:val="Body"/>
        <w:spacing w:after="0" w:line="240" w:lineRule="auto"/>
        <w:jc w:val="both"/>
        <w:rPr>
          <w:rFonts w:ascii="Futura Lt BT" w:hAnsi="Futura Lt BT"/>
          <w:b/>
          <w:bCs/>
          <w:lang w:val="es-CR"/>
        </w:rPr>
      </w:pPr>
      <w:r w:rsidRPr="005101EB">
        <w:rPr>
          <w:rFonts w:ascii="Futura Lt BT" w:eastAsia="Futura Lt BT" w:hAnsi="Futura Lt BT" w:cs="Futura Lt BT"/>
          <w:b/>
          <w:bCs/>
          <w:lang w:val="es-CR"/>
        </w:rPr>
        <w:t>OCTAVO</w:t>
      </w:r>
      <w:r w:rsidR="000E029B" w:rsidRPr="005101EB">
        <w:rPr>
          <w:rFonts w:ascii="Futura Lt BT" w:eastAsia="Futura Lt BT" w:hAnsi="Futura Lt BT" w:cs="Futura Lt BT"/>
          <w:b/>
          <w:bCs/>
          <w:lang w:val="es-CR"/>
        </w:rPr>
        <w:t xml:space="preserve">: </w:t>
      </w:r>
      <w:r w:rsidR="005101EB" w:rsidRPr="005101EB">
        <w:rPr>
          <w:rFonts w:ascii="Futura Lt BT" w:hAnsi="Futura Lt BT"/>
          <w:b/>
          <w:bCs/>
          <w:lang w:val="es-CR"/>
        </w:rPr>
        <w:t>Lugar y fecha de las próximas reuniones en 2021</w:t>
      </w:r>
    </w:p>
    <w:p w14:paraId="7F998E1C" w14:textId="77777777" w:rsidR="00F00A11" w:rsidRDefault="00F00A11" w:rsidP="005101EB">
      <w:pPr>
        <w:pStyle w:val="Body"/>
        <w:spacing w:after="0" w:line="240" w:lineRule="auto"/>
        <w:ind w:firstLine="709"/>
        <w:jc w:val="both"/>
        <w:rPr>
          <w:rFonts w:ascii="Futura Lt BT" w:eastAsia="Futura Lt BT" w:hAnsi="Futura Lt BT" w:cs="Futura Lt BT"/>
          <w:lang w:val="es-CR"/>
        </w:rPr>
      </w:pPr>
    </w:p>
    <w:p w14:paraId="3CFE88C6" w14:textId="61045E11" w:rsidR="005101EB" w:rsidRDefault="005101EB" w:rsidP="005101EB">
      <w:pPr>
        <w:pStyle w:val="Body"/>
        <w:spacing w:after="0" w:line="240" w:lineRule="auto"/>
        <w:ind w:firstLine="709"/>
        <w:jc w:val="both"/>
        <w:rPr>
          <w:rFonts w:ascii="Futura Lt BT" w:hAnsi="Futura Lt BT"/>
          <w:lang w:val="es-CR"/>
        </w:rPr>
      </w:pPr>
      <w:r w:rsidRPr="004527C4">
        <w:rPr>
          <w:rFonts w:ascii="Futura Lt BT" w:eastAsia="Futura Lt BT" w:hAnsi="Futura Lt BT" w:cs="Futura Lt BT"/>
          <w:lang w:val="es-CR"/>
        </w:rPr>
        <w:t xml:space="preserve">Considerando que se había agotado el tiempo disponible para la reunión, el Consejo acordó que </w:t>
      </w:r>
      <w:r>
        <w:rPr>
          <w:rFonts w:ascii="Futura Lt BT" w:eastAsia="Futura Lt BT" w:hAnsi="Futura Lt BT" w:cs="Futura Lt BT"/>
          <w:lang w:val="es-CR"/>
        </w:rPr>
        <w:t>e</w:t>
      </w:r>
      <w:r w:rsidRPr="004527C4">
        <w:rPr>
          <w:rFonts w:ascii="Futura Lt BT" w:eastAsia="Futura Lt BT" w:hAnsi="Futura Lt BT" w:cs="Futura Lt BT"/>
          <w:lang w:val="es-CR"/>
        </w:rPr>
        <w:t xml:space="preserve">l temas pendiente en este apartado de la agenda, relativos a la </w:t>
      </w:r>
      <w:r>
        <w:rPr>
          <w:rFonts w:ascii="Futura Lt BT" w:eastAsia="Futura Lt BT" w:hAnsi="Futura Lt BT" w:cs="Futura Lt BT"/>
          <w:lang w:val="es-CR"/>
        </w:rPr>
        <w:t xml:space="preserve">definición de lugar y fecha de las próximas reuniones del CMCA en 2021, </w:t>
      </w:r>
      <w:r w:rsidRPr="004527C4">
        <w:rPr>
          <w:rFonts w:ascii="Futura Lt BT" w:eastAsia="Futura Lt BT" w:hAnsi="Futura Lt BT" w:cs="Futura Lt BT"/>
          <w:lang w:val="es-CR"/>
        </w:rPr>
        <w:t>fuera sometido a conocimiento y aprobación de los miembros del Consejo por vía remota</w:t>
      </w:r>
      <w:r>
        <w:rPr>
          <w:rFonts w:ascii="Futura Lt BT" w:eastAsia="Futura Lt BT" w:hAnsi="Futura Lt BT" w:cs="Futura Lt BT"/>
          <w:lang w:val="es-CR"/>
        </w:rPr>
        <w:t>.</w:t>
      </w:r>
    </w:p>
    <w:p w14:paraId="65F56719" w14:textId="77777777" w:rsidR="005101EB" w:rsidRDefault="005101EB" w:rsidP="005101EB">
      <w:pPr>
        <w:pStyle w:val="Body"/>
        <w:spacing w:after="0" w:line="240" w:lineRule="auto"/>
        <w:jc w:val="both"/>
        <w:rPr>
          <w:rFonts w:ascii="Futura Lt BT" w:hAnsi="Futura Lt BT"/>
          <w:b/>
          <w:bCs/>
          <w:lang w:val="es-CR"/>
        </w:rPr>
      </w:pPr>
    </w:p>
    <w:p w14:paraId="746DE1BB" w14:textId="0632CD2A" w:rsidR="000E029B" w:rsidRPr="005101EB" w:rsidRDefault="005101EB" w:rsidP="005101EB">
      <w:pPr>
        <w:pStyle w:val="Body"/>
        <w:spacing w:after="0" w:line="240" w:lineRule="auto"/>
        <w:jc w:val="both"/>
        <w:rPr>
          <w:rFonts w:ascii="Futura Lt BT" w:eastAsia="Futura Lt BT" w:hAnsi="Futura Lt BT" w:cs="Futura Lt BT"/>
          <w:b/>
          <w:bCs/>
          <w:lang w:val="es-CR"/>
        </w:rPr>
      </w:pPr>
      <w:r w:rsidRPr="005101EB">
        <w:rPr>
          <w:rFonts w:ascii="Futura Lt BT" w:hAnsi="Futura Lt BT"/>
          <w:b/>
          <w:bCs/>
          <w:lang w:val="es-CR"/>
        </w:rPr>
        <w:t xml:space="preserve">NOVENO: </w:t>
      </w:r>
      <w:r w:rsidR="000E029B" w:rsidRPr="005101EB">
        <w:rPr>
          <w:rFonts w:ascii="Futura Lt BT" w:eastAsia="Futura Lt BT" w:hAnsi="Futura Lt BT" w:cs="Futura Lt BT"/>
          <w:b/>
          <w:bCs/>
          <w:lang w:val="es-CR"/>
        </w:rPr>
        <w:t>Clausura</w:t>
      </w:r>
    </w:p>
    <w:p w14:paraId="006897C6" w14:textId="7FED6292" w:rsidR="002E3C51" w:rsidRPr="004527C4" w:rsidRDefault="00DB0A06" w:rsidP="002E3C51">
      <w:pPr>
        <w:pStyle w:val="Body"/>
        <w:spacing w:before="120" w:after="240" w:line="240" w:lineRule="auto"/>
        <w:ind w:firstLine="709"/>
        <w:jc w:val="both"/>
        <w:rPr>
          <w:rFonts w:ascii="Futura Lt BT" w:hAnsi="Futura Lt BT"/>
          <w:lang w:val="es-CR"/>
        </w:rPr>
      </w:pPr>
      <w:r w:rsidRPr="004527C4">
        <w:rPr>
          <w:rFonts w:ascii="Futura Lt BT" w:hAnsi="Futura Lt BT"/>
          <w:lang w:val="es-CR"/>
        </w:rPr>
        <w:t>El Presidente del Consejo dio por clausurada la reunión a las 13:00 horas.</w:t>
      </w:r>
    </w:p>
    <w:p w14:paraId="4A2D55B3" w14:textId="77777777" w:rsidR="00345812" w:rsidRDefault="00345812" w:rsidP="00BB3B23">
      <w:pPr>
        <w:pStyle w:val="Body"/>
        <w:spacing w:before="100" w:after="100" w:line="240" w:lineRule="auto"/>
        <w:jc w:val="center"/>
        <w:rPr>
          <w:rFonts w:ascii="Futura Lt BT" w:eastAsia="Futura Lt BT" w:hAnsi="Futura Lt BT" w:cs="Futura Lt BT"/>
          <w:i/>
          <w:iCs/>
          <w:lang w:val="es-CR"/>
        </w:rPr>
      </w:pPr>
    </w:p>
    <w:p w14:paraId="21C7691D" w14:textId="5ACB73FB" w:rsidR="002E3C51" w:rsidRPr="004527C4" w:rsidRDefault="002E3C51" w:rsidP="00BB3B23">
      <w:pPr>
        <w:pStyle w:val="Body"/>
        <w:spacing w:before="100" w:after="100" w:line="240" w:lineRule="auto"/>
        <w:jc w:val="center"/>
        <w:rPr>
          <w:rFonts w:ascii="Futura Lt BT" w:eastAsia="Futura Lt BT" w:hAnsi="Futura Lt BT" w:cs="Futura Lt BT"/>
          <w:i/>
          <w:iCs/>
          <w:lang w:val="es-CR"/>
        </w:rPr>
      </w:pPr>
      <w:r w:rsidRPr="004527C4">
        <w:rPr>
          <w:rFonts w:ascii="Futura Lt BT" w:eastAsia="Futura Lt BT" w:hAnsi="Futura Lt BT" w:cs="Futura Lt BT"/>
          <w:i/>
          <w:iCs/>
          <w:lang w:val="es-CR"/>
        </w:rPr>
        <w:t>Acta aprobada en la 29</w:t>
      </w:r>
      <w:r w:rsidR="00D806AC" w:rsidRPr="004527C4">
        <w:rPr>
          <w:rFonts w:ascii="Futura Lt BT" w:eastAsia="Futura Lt BT" w:hAnsi="Futura Lt BT" w:cs="Futura Lt BT"/>
          <w:i/>
          <w:iCs/>
          <w:lang w:val="es-CR"/>
        </w:rPr>
        <w:t>2</w:t>
      </w:r>
      <w:r w:rsidRPr="004527C4">
        <w:rPr>
          <w:rFonts w:ascii="Futura Lt BT" w:eastAsia="Futura Lt BT" w:hAnsi="Futura Lt BT" w:cs="Futura Lt BT"/>
          <w:i/>
          <w:iCs/>
          <w:lang w:val="es-CR"/>
        </w:rPr>
        <w:t>ª Reunión del Consejo Monetario Centroamericano, …</w:t>
      </w:r>
    </w:p>
    <w:p w14:paraId="467C1E7E" w14:textId="483D94FC" w:rsidR="00B70345" w:rsidRDefault="00B70345" w:rsidP="00BB3B23">
      <w:pPr>
        <w:pStyle w:val="Body"/>
        <w:spacing w:before="100" w:after="100" w:line="240" w:lineRule="auto"/>
        <w:jc w:val="center"/>
        <w:rPr>
          <w:rFonts w:ascii="Futura Lt BT" w:eastAsia="Futura Lt BT" w:hAnsi="Futura Lt BT" w:cs="Futura Lt BT"/>
          <w:i/>
          <w:iCs/>
          <w:lang w:val="es-CR"/>
        </w:rPr>
      </w:pPr>
    </w:p>
    <w:p w14:paraId="7D896308" w14:textId="1AA921CB" w:rsidR="00345812" w:rsidRDefault="00345812" w:rsidP="00BB3B23">
      <w:pPr>
        <w:pStyle w:val="Body"/>
        <w:spacing w:before="100" w:after="100" w:line="240" w:lineRule="auto"/>
        <w:jc w:val="center"/>
        <w:rPr>
          <w:rFonts w:ascii="Futura Lt BT" w:eastAsia="Futura Lt BT" w:hAnsi="Futura Lt BT" w:cs="Futura Lt BT"/>
          <w:i/>
          <w:iCs/>
          <w:lang w:val="es-CR"/>
        </w:rPr>
      </w:pPr>
    </w:p>
    <w:p w14:paraId="65823432" w14:textId="77777777" w:rsidR="00345812" w:rsidRPr="004527C4" w:rsidRDefault="00345812" w:rsidP="00BB3B23">
      <w:pPr>
        <w:pStyle w:val="Body"/>
        <w:spacing w:before="100" w:after="100" w:line="240" w:lineRule="auto"/>
        <w:jc w:val="center"/>
        <w:rPr>
          <w:rFonts w:ascii="Futura Lt BT" w:eastAsia="Futura Lt BT" w:hAnsi="Futura Lt BT" w:cs="Futura Lt BT"/>
          <w:i/>
          <w:iCs/>
          <w:lang w:val="es-CR"/>
        </w:rPr>
      </w:pPr>
    </w:p>
    <w:p w14:paraId="0482F2AE" w14:textId="77777777" w:rsidR="00B70345" w:rsidRPr="004527C4" w:rsidRDefault="00B70345" w:rsidP="00BB3B23">
      <w:pPr>
        <w:pStyle w:val="Body"/>
        <w:spacing w:before="100" w:after="100" w:line="240" w:lineRule="auto"/>
        <w:jc w:val="center"/>
        <w:rPr>
          <w:rFonts w:ascii="Futura Lt BT" w:eastAsia="Futura Lt BT" w:hAnsi="Futura Lt BT" w:cs="Futura Lt BT"/>
          <w:i/>
          <w:iCs/>
          <w:lang w:val="es-CR"/>
        </w:rPr>
      </w:pPr>
    </w:p>
    <w:p w14:paraId="57511465" w14:textId="77777777" w:rsidR="002E3C51" w:rsidRPr="004527C4" w:rsidRDefault="002E3C51" w:rsidP="002E3C51">
      <w:pPr>
        <w:pStyle w:val="Body"/>
        <w:spacing w:before="100" w:after="100" w:line="240" w:lineRule="auto"/>
        <w:jc w:val="center"/>
        <w:rPr>
          <w:rFonts w:ascii="Futura Lt BT" w:eastAsia="Futura Lt BT" w:hAnsi="Futura Lt BT" w:cs="Futura Lt BT"/>
          <w:i/>
          <w:iCs/>
          <w:lang w:val="es-CR"/>
        </w:rPr>
      </w:pPr>
    </w:p>
    <w:tbl>
      <w:tblPr>
        <w:tblStyle w:val="TableNormal"/>
        <w:tblW w:w="8931" w:type="dxa"/>
        <w:jc w:val="center"/>
        <w:shd w:val="clear" w:color="auto" w:fill="CDD4E9"/>
        <w:tblLayout w:type="fixed"/>
        <w:tblLook w:val="04A0" w:firstRow="1" w:lastRow="0" w:firstColumn="1" w:lastColumn="0" w:noHBand="0" w:noVBand="1"/>
      </w:tblPr>
      <w:tblGrid>
        <w:gridCol w:w="3969"/>
        <w:gridCol w:w="993"/>
        <w:gridCol w:w="3969"/>
      </w:tblGrid>
      <w:tr w:rsidR="002E3C51" w:rsidRPr="004527C4" w14:paraId="5E75C2E8" w14:textId="77777777" w:rsidTr="006F312E">
        <w:trPr>
          <w:trHeight w:val="478"/>
          <w:jc w:val="center"/>
        </w:trPr>
        <w:tc>
          <w:tcPr>
            <w:tcW w:w="3969" w:type="dxa"/>
            <w:shd w:val="clear" w:color="auto" w:fill="auto"/>
            <w:tcMar>
              <w:top w:w="80" w:type="dxa"/>
              <w:left w:w="80" w:type="dxa"/>
              <w:bottom w:w="80" w:type="dxa"/>
              <w:right w:w="80" w:type="dxa"/>
            </w:tcMar>
          </w:tcPr>
          <w:p w14:paraId="70EA010B" w14:textId="77777777" w:rsidR="002E3C51" w:rsidRPr="004527C4" w:rsidRDefault="002E3C51" w:rsidP="006F312E">
            <w:pPr>
              <w:pStyle w:val="Body"/>
              <w:pBdr>
                <w:top w:val="single" w:sz="4" w:space="1" w:color="auto"/>
              </w:pBdr>
              <w:spacing w:after="0" w:line="240" w:lineRule="auto"/>
              <w:jc w:val="center"/>
              <w:rPr>
                <w:lang w:val="es-CR"/>
              </w:rPr>
            </w:pPr>
            <w:r w:rsidRPr="004527C4">
              <w:rPr>
                <w:rFonts w:ascii="Futura Lt BT" w:eastAsia="Futura Lt BT" w:hAnsi="Futura Lt BT" w:cs="Futura Lt BT"/>
                <w:lang w:val="es-CR"/>
              </w:rPr>
              <w:t>Presidente del CMCA</w:t>
            </w:r>
          </w:p>
        </w:tc>
        <w:tc>
          <w:tcPr>
            <w:tcW w:w="993" w:type="dxa"/>
            <w:shd w:val="clear" w:color="auto" w:fill="auto"/>
            <w:tcMar>
              <w:top w:w="80" w:type="dxa"/>
              <w:left w:w="80" w:type="dxa"/>
              <w:bottom w:w="80" w:type="dxa"/>
              <w:right w:w="80" w:type="dxa"/>
            </w:tcMar>
          </w:tcPr>
          <w:p w14:paraId="5C36F376" w14:textId="77777777" w:rsidR="002E3C51" w:rsidRPr="004527C4" w:rsidRDefault="002E3C51" w:rsidP="006F312E">
            <w:pPr>
              <w:rPr>
                <w:sz w:val="22"/>
                <w:szCs w:val="22"/>
                <w:lang w:val="es-CR"/>
              </w:rPr>
            </w:pPr>
          </w:p>
        </w:tc>
        <w:tc>
          <w:tcPr>
            <w:tcW w:w="3969" w:type="dxa"/>
            <w:shd w:val="clear" w:color="auto" w:fill="auto"/>
            <w:tcMar>
              <w:top w:w="80" w:type="dxa"/>
              <w:left w:w="80" w:type="dxa"/>
              <w:bottom w:w="80" w:type="dxa"/>
              <w:right w:w="80" w:type="dxa"/>
            </w:tcMar>
          </w:tcPr>
          <w:p w14:paraId="46AFB9C0" w14:textId="77777777" w:rsidR="002E3C51" w:rsidRPr="004527C4" w:rsidRDefault="002E3C51" w:rsidP="006F312E">
            <w:pPr>
              <w:pStyle w:val="Body"/>
              <w:pBdr>
                <w:top w:val="single" w:sz="4" w:space="1" w:color="auto"/>
              </w:pBdr>
              <w:spacing w:after="0" w:line="240" w:lineRule="auto"/>
              <w:jc w:val="center"/>
              <w:rPr>
                <w:lang w:val="es-CR"/>
              </w:rPr>
            </w:pPr>
            <w:r w:rsidRPr="004527C4">
              <w:rPr>
                <w:rFonts w:ascii="Futura Lt BT" w:eastAsia="Futura Lt BT" w:hAnsi="Futura Lt BT" w:cs="Futura Lt BT"/>
                <w:lang w:val="es-CR"/>
              </w:rPr>
              <w:t>Secretario Ejecutivo</w:t>
            </w:r>
          </w:p>
        </w:tc>
      </w:tr>
    </w:tbl>
    <w:p w14:paraId="0C47D2E3" w14:textId="4F195EFE" w:rsidR="00BB3B23" w:rsidRDefault="00BB3B23" w:rsidP="00BB3B23">
      <w:pPr>
        <w:pStyle w:val="Body"/>
        <w:spacing w:before="120" w:after="240" w:line="240" w:lineRule="auto"/>
        <w:jc w:val="center"/>
        <w:rPr>
          <w:rFonts w:ascii="Futura Lt BT" w:hAnsi="Futura Lt BT"/>
          <w:lang w:val="es-CR"/>
        </w:rPr>
      </w:pPr>
    </w:p>
    <w:p w14:paraId="1B5E27A4" w14:textId="0623919A" w:rsidR="00345812" w:rsidRDefault="00345812" w:rsidP="00BB3B23">
      <w:pPr>
        <w:pStyle w:val="Body"/>
        <w:spacing w:before="120" w:after="240" w:line="240" w:lineRule="auto"/>
        <w:jc w:val="center"/>
        <w:rPr>
          <w:rFonts w:ascii="Futura Lt BT" w:hAnsi="Futura Lt BT"/>
          <w:lang w:val="es-CR"/>
        </w:rPr>
      </w:pPr>
    </w:p>
    <w:p w14:paraId="1D957E50" w14:textId="0B1B93D7" w:rsidR="00345812" w:rsidRDefault="00345812" w:rsidP="00BB3B23">
      <w:pPr>
        <w:pStyle w:val="Body"/>
        <w:spacing w:before="120" w:after="240" w:line="240" w:lineRule="auto"/>
        <w:jc w:val="center"/>
        <w:rPr>
          <w:rFonts w:ascii="Futura Lt BT" w:hAnsi="Futura Lt BT"/>
          <w:lang w:val="es-CR"/>
        </w:rPr>
      </w:pPr>
    </w:p>
    <w:p w14:paraId="3C034B3D" w14:textId="656A3C79" w:rsidR="00345812" w:rsidRDefault="00345812" w:rsidP="00BB3B23">
      <w:pPr>
        <w:pStyle w:val="Body"/>
        <w:spacing w:before="120" w:after="240" w:line="240" w:lineRule="auto"/>
        <w:jc w:val="center"/>
        <w:rPr>
          <w:rFonts w:ascii="Futura Lt BT" w:hAnsi="Futura Lt BT"/>
          <w:lang w:val="es-CR"/>
        </w:rPr>
      </w:pPr>
    </w:p>
    <w:p w14:paraId="379EDB94" w14:textId="645A8CA3" w:rsidR="00345812" w:rsidRDefault="00345812" w:rsidP="00BB3B23">
      <w:pPr>
        <w:pStyle w:val="Body"/>
        <w:spacing w:before="120" w:after="240" w:line="240" w:lineRule="auto"/>
        <w:jc w:val="center"/>
        <w:rPr>
          <w:rFonts w:ascii="Futura Lt BT" w:hAnsi="Futura Lt BT"/>
          <w:lang w:val="es-CR"/>
        </w:rPr>
      </w:pPr>
    </w:p>
    <w:p w14:paraId="00D23B2F" w14:textId="77777777" w:rsidR="00345812" w:rsidRPr="004527C4" w:rsidRDefault="00345812" w:rsidP="00BB3B23">
      <w:pPr>
        <w:pStyle w:val="Body"/>
        <w:spacing w:before="120" w:after="240" w:line="240" w:lineRule="auto"/>
        <w:jc w:val="center"/>
        <w:rPr>
          <w:rFonts w:ascii="Futura Lt BT" w:hAnsi="Futura Lt BT"/>
          <w:lang w:val="es-CR"/>
        </w:rPr>
      </w:pPr>
    </w:p>
    <w:p w14:paraId="77738B19" w14:textId="017AAB2C" w:rsidR="002E3C51" w:rsidRDefault="00BB3B23" w:rsidP="005247B5">
      <w:pPr>
        <w:pStyle w:val="Body"/>
        <w:spacing w:before="120" w:after="0" w:line="240" w:lineRule="auto"/>
        <w:jc w:val="center"/>
        <w:rPr>
          <w:rFonts w:ascii="Futura Lt BT" w:hAnsi="Futura Lt BT"/>
          <w:sz w:val="20"/>
          <w:szCs w:val="20"/>
          <w:lang w:val="es-CR"/>
        </w:rPr>
      </w:pPr>
      <w:r w:rsidRPr="004527C4">
        <w:rPr>
          <w:rFonts w:ascii="Futura Lt BT" w:hAnsi="Futura Lt BT"/>
          <w:sz w:val="20"/>
          <w:szCs w:val="20"/>
          <w:lang w:val="es-CR"/>
        </w:rPr>
        <w:t xml:space="preserve">[Versión borrador </w:t>
      </w:r>
      <w:r w:rsidR="007D71FE" w:rsidRPr="004527C4">
        <w:rPr>
          <w:rFonts w:ascii="Futura Lt BT" w:hAnsi="Futura Lt BT"/>
          <w:sz w:val="20"/>
          <w:szCs w:val="20"/>
          <w:lang w:val="es-CR"/>
        </w:rPr>
        <w:t>0</w:t>
      </w:r>
      <w:r w:rsidRPr="004527C4">
        <w:rPr>
          <w:rFonts w:ascii="Futura Lt BT" w:hAnsi="Futura Lt BT"/>
          <w:sz w:val="20"/>
          <w:szCs w:val="20"/>
          <w:lang w:val="es-CR"/>
        </w:rPr>
        <w:t>.</w:t>
      </w:r>
      <w:r w:rsidR="00391311">
        <w:rPr>
          <w:rFonts w:ascii="Futura Lt BT" w:hAnsi="Futura Lt BT"/>
          <w:sz w:val="20"/>
          <w:szCs w:val="20"/>
          <w:lang w:val="es-CR"/>
        </w:rPr>
        <w:t>4</w:t>
      </w:r>
      <w:r w:rsidRPr="004527C4">
        <w:rPr>
          <w:rFonts w:ascii="Futura Lt BT" w:hAnsi="Futura Lt BT"/>
          <w:sz w:val="20"/>
          <w:szCs w:val="20"/>
          <w:lang w:val="es-CR"/>
        </w:rPr>
        <w:t xml:space="preserve"> – </w:t>
      </w:r>
      <w:r w:rsidR="00487AEC">
        <w:rPr>
          <w:rFonts w:ascii="Futura Lt BT" w:hAnsi="Futura Lt BT"/>
          <w:sz w:val="20"/>
          <w:szCs w:val="20"/>
          <w:lang w:val="es-CR"/>
        </w:rPr>
        <w:t>12</w:t>
      </w:r>
      <w:r w:rsidRPr="004527C4">
        <w:rPr>
          <w:rFonts w:ascii="Futura Lt BT" w:hAnsi="Futura Lt BT"/>
          <w:sz w:val="20"/>
          <w:szCs w:val="20"/>
          <w:lang w:val="es-CR"/>
        </w:rPr>
        <w:t xml:space="preserve"> de </w:t>
      </w:r>
      <w:r w:rsidR="00487AEC">
        <w:rPr>
          <w:rFonts w:ascii="Futura Lt BT" w:hAnsi="Futura Lt BT"/>
          <w:sz w:val="20"/>
          <w:szCs w:val="20"/>
          <w:lang w:val="es-CR"/>
        </w:rPr>
        <w:t>abril</w:t>
      </w:r>
      <w:r w:rsidR="007D71FE" w:rsidRPr="004527C4">
        <w:rPr>
          <w:rFonts w:ascii="Futura Lt BT" w:hAnsi="Futura Lt BT"/>
          <w:sz w:val="20"/>
          <w:szCs w:val="20"/>
          <w:lang w:val="es-CR"/>
        </w:rPr>
        <w:t xml:space="preserve"> </w:t>
      </w:r>
      <w:r w:rsidRPr="004527C4">
        <w:rPr>
          <w:rFonts w:ascii="Futura Lt BT" w:hAnsi="Futura Lt BT"/>
          <w:sz w:val="20"/>
          <w:szCs w:val="20"/>
          <w:lang w:val="es-CR"/>
        </w:rPr>
        <w:t>de 202</w:t>
      </w:r>
      <w:r w:rsidR="00140DB7" w:rsidRPr="004527C4">
        <w:rPr>
          <w:rFonts w:ascii="Futura Lt BT" w:hAnsi="Futura Lt BT"/>
          <w:sz w:val="20"/>
          <w:szCs w:val="20"/>
          <w:lang w:val="es-CR"/>
        </w:rPr>
        <w:t>1</w:t>
      </w:r>
      <w:r w:rsidRPr="004527C4">
        <w:rPr>
          <w:rFonts w:ascii="Futura Lt BT" w:hAnsi="Futura Lt BT"/>
          <w:sz w:val="20"/>
          <w:szCs w:val="20"/>
          <w:lang w:val="es-CR"/>
        </w:rPr>
        <w:t>]</w:t>
      </w:r>
    </w:p>
    <w:p w14:paraId="795CF736" w14:textId="069E0B1B" w:rsidR="00487AEC" w:rsidRPr="004527C4" w:rsidRDefault="00487AEC" w:rsidP="005247B5">
      <w:pPr>
        <w:pStyle w:val="Body"/>
        <w:spacing w:before="120" w:after="0" w:line="240" w:lineRule="auto"/>
        <w:jc w:val="center"/>
        <w:rPr>
          <w:rFonts w:ascii="Futura Lt BT" w:hAnsi="Futura Lt BT"/>
          <w:sz w:val="20"/>
          <w:szCs w:val="20"/>
          <w:lang w:val="es-CR"/>
        </w:rPr>
      </w:pPr>
      <w:r>
        <w:rPr>
          <w:rFonts w:ascii="Futura Lt BT" w:hAnsi="Futura Lt BT"/>
          <w:sz w:val="20"/>
          <w:szCs w:val="20"/>
          <w:lang w:val="es-CR"/>
        </w:rPr>
        <w:t>[Observaciones de BCN</w:t>
      </w:r>
      <w:r w:rsidR="00391311">
        <w:rPr>
          <w:rFonts w:ascii="Futura Lt BT" w:hAnsi="Futura Lt BT"/>
          <w:sz w:val="20"/>
          <w:szCs w:val="20"/>
          <w:lang w:val="es-CR"/>
        </w:rPr>
        <w:t xml:space="preserve">, </w:t>
      </w:r>
      <w:r>
        <w:rPr>
          <w:rFonts w:ascii="Futura Lt BT" w:hAnsi="Futura Lt BT"/>
          <w:sz w:val="20"/>
          <w:szCs w:val="20"/>
          <w:lang w:val="es-CR"/>
        </w:rPr>
        <w:t xml:space="preserve">BCH </w:t>
      </w:r>
      <w:r w:rsidR="00391311">
        <w:rPr>
          <w:rFonts w:ascii="Futura Lt BT" w:hAnsi="Futura Lt BT"/>
          <w:sz w:val="20"/>
          <w:szCs w:val="20"/>
          <w:lang w:val="es-CR"/>
        </w:rPr>
        <w:t xml:space="preserve">y BCRES </w:t>
      </w:r>
      <w:r>
        <w:rPr>
          <w:rFonts w:ascii="Futura Lt BT" w:hAnsi="Futura Lt BT"/>
          <w:sz w:val="20"/>
          <w:szCs w:val="20"/>
          <w:lang w:val="es-CR"/>
        </w:rPr>
        <w:t>incluidas]</w:t>
      </w:r>
    </w:p>
    <w:sectPr w:rsidR="00487AEC" w:rsidRPr="004527C4">
      <w:headerReference w:type="default" r:id="rId7"/>
      <w:headerReference w:type="first" r:id="rId8"/>
      <w:pgSz w:w="12240" w:h="15840"/>
      <w:pgMar w:top="1440" w:right="1440" w:bottom="1440" w:left="1440" w:header="794"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5BB32" w14:textId="77777777" w:rsidR="000F2DC4" w:rsidRDefault="000F2DC4">
      <w:r>
        <w:separator/>
      </w:r>
    </w:p>
  </w:endnote>
  <w:endnote w:type="continuationSeparator" w:id="0">
    <w:p w14:paraId="6734946B" w14:textId="77777777" w:rsidR="000F2DC4" w:rsidRDefault="000F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 Lt BT">
    <w:altName w:val="Futura"/>
    <w:panose1 w:val="020B0402020204020303"/>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DE190" w14:textId="77777777" w:rsidR="000F2DC4" w:rsidRDefault="000F2DC4">
      <w:r>
        <w:separator/>
      </w:r>
    </w:p>
  </w:footnote>
  <w:footnote w:type="continuationSeparator" w:id="0">
    <w:p w14:paraId="575E9489" w14:textId="77777777" w:rsidR="000F2DC4" w:rsidRDefault="000F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75B8" w14:textId="14F1044F" w:rsidR="000B6AEE" w:rsidRDefault="000B6AEE">
    <w:pPr>
      <w:pStyle w:val="Body"/>
      <w:pBdr>
        <w:bottom w:val="single" w:sz="4" w:space="0" w:color="000000"/>
      </w:pBdr>
      <w:tabs>
        <w:tab w:val="right" w:pos="9340"/>
      </w:tabs>
    </w:pPr>
    <w:r>
      <w:rPr>
        <w:rFonts w:ascii="Futura Lt BT" w:eastAsia="Futura Lt BT" w:hAnsi="Futura Lt BT" w:cs="Futura Lt BT"/>
        <w:i/>
        <w:iCs/>
        <w:sz w:val="20"/>
        <w:szCs w:val="20"/>
      </w:rPr>
      <w:t>Acta 291</w:t>
    </w:r>
    <w:r>
      <w:rPr>
        <w:rFonts w:ascii="Futura Lt BT" w:eastAsia="Futura Lt BT" w:hAnsi="Futura Lt BT" w:cs="Futura Lt BT"/>
        <w:i/>
        <w:iCs/>
        <w:sz w:val="20"/>
        <w:szCs w:val="20"/>
        <w:lang w:val="es-ES_tradnl"/>
      </w:rPr>
      <w:t>ª</w:t>
    </w:r>
    <w:r>
      <w:rPr>
        <w:rFonts w:ascii="Futura Lt BT" w:eastAsia="Futura Lt BT" w:hAnsi="Futura Lt BT" w:cs="Futura Lt BT"/>
        <w:i/>
        <w:iCs/>
        <w:sz w:val="20"/>
        <w:szCs w:val="20"/>
      </w:rPr>
      <w:t xml:space="preserve"> Reunión CMCA</w:t>
    </w:r>
    <w:r>
      <w:rPr>
        <w:rFonts w:ascii="Futura Lt BT" w:eastAsia="Futura Lt BT" w:hAnsi="Futura Lt BT" w:cs="Futura Lt BT"/>
        <w:i/>
        <w:iCs/>
        <w:sz w:val="20"/>
        <w:szCs w:val="20"/>
      </w:rPr>
      <w:tab/>
      <w:t xml:space="preserve"> P</w:t>
    </w:r>
    <w:r>
      <w:rPr>
        <w:rFonts w:ascii="Futura Lt BT" w:eastAsia="Futura Lt BT" w:hAnsi="Futura Lt BT" w:cs="Futura Lt BT"/>
        <w:i/>
        <w:iCs/>
        <w:sz w:val="20"/>
        <w:szCs w:val="20"/>
        <w:lang w:val="es-ES_tradnl"/>
      </w:rPr>
      <w:t>á</w:t>
    </w:r>
    <w:r>
      <w:rPr>
        <w:rFonts w:ascii="Futura Lt BT" w:eastAsia="Futura Lt BT" w:hAnsi="Futura Lt BT" w:cs="Futura Lt BT"/>
        <w:i/>
        <w:iCs/>
        <w:sz w:val="20"/>
        <w:szCs w:val="20"/>
        <w:lang w:val="it-IT"/>
      </w:rPr>
      <w:t>gina -</w:t>
    </w:r>
    <w:r>
      <w:rPr>
        <w:rFonts w:ascii="Futura Lt BT" w:eastAsia="Futura Lt BT" w:hAnsi="Futura Lt BT" w:cs="Futura Lt BT"/>
        <w:i/>
        <w:iCs/>
        <w:sz w:val="20"/>
        <w:szCs w:val="20"/>
      </w:rPr>
      <w:fldChar w:fldCharType="begin"/>
    </w:r>
    <w:r>
      <w:rPr>
        <w:rFonts w:ascii="Futura Lt BT" w:eastAsia="Futura Lt BT" w:hAnsi="Futura Lt BT" w:cs="Futura Lt BT"/>
        <w:i/>
        <w:iCs/>
        <w:sz w:val="20"/>
        <w:szCs w:val="20"/>
      </w:rPr>
      <w:instrText xml:space="preserve"> PAGE </w:instrText>
    </w:r>
    <w:r>
      <w:rPr>
        <w:rFonts w:ascii="Futura Lt BT" w:eastAsia="Futura Lt BT" w:hAnsi="Futura Lt BT" w:cs="Futura Lt BT"/>
        <w:i/>
        <w:iCs/>
        <w:sz w:val="20"/>
        <w:szCs w:val="20"/>
      </w:rPr>
      <w:fldChar w:fldCharType="separate"/>
    </w:r>
    <w:r>
      <w:rPr>
        <w:rFonts w:ascii="Futura Lt BT" w:eastAsia="Futura Lt BT" w:hAnsi="Futura Lt BT" w:cs="Futura Lt BT"/>
        <w:i/>
        <w:iCs/>
        <w:noProof/>
        <w:sz w:val="20"/>
        <w:szCs w:val="20"/>
      </w:rPr>
      <w:t>2</w:t>
    </w:r>
    <w:r>
      <w:rPr>
        <w:rFonts w:ascii="Futura Lt BT" w:eastAsia="Futura Lt BT" w:hAnsi="Futura Lt BT" w:cs="Futura Lt BT"/>
        <w:i/>
        <w:iCs/>
        <w:sz w:val="20"/>
        <w:szCs w:val="20"/>
      </w:rPr>
      <w:fldChar w:fldCharType="end"/>
    </w:r>
    <w:r>
      <w:rPr>
        <w:rFonts w:ascii="Futura Lt BT" w:eastAsia="Futura Lt BT" w:hAnsi="Futura Lt BT" w:cs="Futura Lt BT"/>
        <w:i/>
        <w:iCs/>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32BB" w14:textId="77777777" w:rsidR="000B6AEE" w:rsidRDefault="000B6AEE">
    <w:pPr>
      <w:pStyle w:val="Encabezado"/>
      <w:jc w:val="center"/>
    </w:pPr>
    <w:r>
      <w:rPr>
        <w:noProof/>
      </w:rPr>
      <w:drawing>
        <wp:inline distT="0" distB="0" distL="0" distR="0" wp14:anchorId="46DE5E2C" wp14:editId="5BCF9EA4">
          <wp:extent cx="1038225" cy="1101725"/>
          <wp:effectExtent l="0" t="0" r="0" b="0"/>
          <wp:docPr id="1073741825" name="officeArt object" descr="C:\Users\rrodriguez.SECMCA\AppData\Local\Microsoft\Windows\Temporary Internet Files\Content.Outlook\B7BTBT5M\Logo CMCA principal (002).png"/>
          <wp:cNvGraphicFramePr/>
          <a:graphic xmlns:a="http://schemas.openxmlformats.org/drawingml/2006/main">
            <a:graphicData uri="http://schemas.openxmlformats.org/drawingml/2006/picture">
              <pic:pic xmlns:pic="http://schemas.openxmlformats.org/drawingml/2006/picture">
                <pic:nvPicPr>
                  <pic:cNvPr id="1073741825" name="C:\Users\rrodriguez.SECMCA\AppData\Local\Microsoft\Windows\Temporary Internet Files\Content.Outlook\B7BTBT5M\Logo CMCA principal (002).png" descr="C:\Users\rrodriguez.SECMCA\AppData\Local\Microsoft\Windows\Temporary Internet Files\Content.Outlook\B7BTBT5M\Logo CMCA principal (002).png"/>
                  <pic:cNvPicPr>
                    <a:picLocks noChangeAspect="1"/>
                  </pic:cNvPicPr>
                </pic:nvPicPr>
                <pic:blipFill>
                  <a:blip r:embed="rId1"/>
                  <a:stretch>
                    <a:fillRect/>
                  </a:stretch>
                </pic:blipFill>
                <pic:spPr>
                  <a:xfrm>
                    <a:off x="0" y="0"/>
                    <a:ext cx="1038225" cy="11017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5EB"/>
    <w:multiLevelType w:val="hybridMultilevel"/>
    <w:tmpl w:val="59DCAB86"/>
    <w:lvl w:ilvl="0" w:tplc="09E848D4">
      <w:start w:val="1"/>
      <w:numFmt w:val="low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9" w:hanging="360"/>
      </w:pPr>
      <w:rPr>
        <w:rFonts w:ascii="Futura Lt BT" w:hAnsi="Futura Lt BT" w:hint="default"/>
        <w:b w:val="0"/>
        <w:i w:val="0"/>
        <w:caps w:val="0"/>
        <w:smallCaps w:val="0"/>
        <w:strike w:val="0"/>
        <w:dstrike w:val="0"/>
        <w:outline w:val="0"/>
        <w:emboss w:val="0"/>
        <w:imprint w:val="0"/>
        <w:vanish w:val="0"/>
        <w:spacing w:val="0"/>
        <w:w w:val="100"/>
        <w:kern w:val="0"/>
        <w:position w:val="0"/>
        <w:sz w:val="22"/>
        <w:highlight w:val="none"/>
        <w:vertAlign w:val="baseline"/>
      </w:rPr>
    </w:lvl>
    <w:lvl w:ilvl="1" w:tplc="ABD0C87A">
      <w:start w:val="1"/>
      <w:numFmt w:val="low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51"/>
      </w:pPr>
      <w:rPr>
        <w:rFonts w:hAnsi="Arial Unicode MS"/>
        <w:caps w:val="0"/>
        <w:smallCaps w:val="0"/>
        <w:strike w:val="0"/>
        <w:dstrike w:val="0"/>
        <w:outline w:val="0"/>
        <w:emboss w:val="0"/>
        <w:imprint w:val="0"/>
        <w:spacing w:val="0"/>
        <w:w w:val="100"/>
        <w:kern w:val="0"/>
        <w:position w:val="0"/>
        <w:highlight w:val="none"/>
        <w:vertAlign w:val="baseline"/>
      </w:rPr>
    </w:lvl>
    <w:lvl w:ilvl="2" w:tplc="651ECDD4">
      <w:start w:val="1"/>
      <w:numFmt w:val="lowerRoman"/>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09"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70EC320">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74931A">
      <w:start w:val="1"/>
      <w:numFmt w:val="lowerLetter"/>
      <w:lvlText w:val="%5."/>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331"/>
      </w:pPr>
      <w:rPr>
        <w:rFonts w:hAnsi="Arial Unicode MS"/>
        <w:caps w:val="0"/>
        <w:smallCaps w:val="0"/>
        <w:strike w:val="0"/>
        <w:dstrike w:val="0"/>
        <w:outline w:val="0"/>
        <w:emboss w:val="0"/>
        <w:imprint w:val="0"/>
        <w:spacing w:val="0"/>
        <w:w w:val="100"/>
        <w:kern w:val="0"/>
        <w:position w:val="0"/>
        <w:highlight w:val="none"/>
        <w:vertAlign w:val="baseline"/>
      </w:rPr>
    </w:lvl>
    <w:lvl w:ilvl="5" w:tplc="E1A6450C">
      <w:start w:val="1"/>
      <w:numFmt w:val="lowerRoman"/>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669"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E2EB12C">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9EE1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56C556">
      <w:start w:val="1"/>
      <w:numFmt w:val="lowerRoman"/>
      <w:suff w:val="nothing"/>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720" w:hanging="1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407544"/>
    <w:multiLevelType w:val="hybridMultilevel"/>
    <w:tmpl w:val="C1E4E328"/>
    <w:lvl w:ilvl="0" w:tplc="4C0A000F">
      <w:start w:val="1"/>
      <w:numFmt w:val="decimal"/>
      <w:lvlText w:val="%1."/>
      <w:lvlJc w:val="left"/>
      <w:pPr>
        <w:ind w:left="720" w:hanging="360"/>
      </w:p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4C0A000F">
      <w:start w:val="1"/>
      <w:numFmt w:val="decimal"/>
      <w:lvlText w:val="%4."/>
      <w:lvlJc w:val="left"/>
      <w:pPr>
        <w:ind w:left="2880" w:hanging="360"/>
      </w:p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2" w15:restartNumberingAfterBreak="0">
    <w:nsid w:val="167E0691"/>
    <w:multiLevelType w:val="hybridMultilevel"/>
    <w:tmpl w:val="45B816BE"/>
    <w:numStyleLink w:val="ImportedStyle2"/>
  </w:abstractNum>
  <w:abstractNum w:abstractNumId="3" w15:restartNumberingAfterBreak="0">
    <w:nsid w:val="17E262B6"/>
    <w:multiLevelType w:val="hybridMultilevel"/>
    <w:tmpl w:val="45B816BE"/>
    <w:styleLink w:val="ImportedStyle2"/>
    <w:lvl w:ilvl="0" w:tplc="E918C5C4">
      <w:start w:val="1"/>
      <w:numFmt w:val="low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DC398A">
      <w:start w:val="1"/>
      <w:numFmt w:val="low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51"/>
      </w:pPr>
      <w:rPr>
        <w:rFonts w:hAnsi="Arial Unicode MS"/>
        <w:caps w:val="0"/>
        <w:smallCaps w:val="0"/>
        <w:strike w:val="0"/>
        <w:dstrike w:val="0"/>
        <w:outline w:val="0"/>
        <w:emboss w:val="0"/>
        <w:imprint w:val="0"/>
        <w:spacing w:val="0"/>
        <w:w w:val="100"/>
        <w:kern w:val="0"/>
        <w:position w:val="0"/>
        <w:highlight w:val="none"/>
        <w:vertAlign w:val="baseline"/>
      </w:rPr>
    </w:lvl>
    <w:lvl w:ilvl="2" w:tplc="CA7EC48C">
      <w:start w:val="1"/>
      <w:numFmt w:val="lowerRoman"/>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09"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42C7690">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1A039A">
      <w:start w:val="1"/>
      <w:numFmt w:val="lowerLetter"/>
      <w:lvlText w:val="%5."/>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331"/>
      </w:pPr>
      <w:rPr>
        <w:rFonts w:hAnsi="Arial Unicode MS"/>
        <w:caps w:val="0"/>
        <w:smallCaps w:val="0"/>
        <w:strike w:val="0"/>
        <w:dstrike w:val="0"/>
        <w:outline w:val="0"/>
        <w:emboss w:val="0"/>
        <w:imprint w:val="0"/>
        <w:spacing w:val="0"/>
        <w:w w:val="100"/>
        <w:kern w:val="0"/>
        <w:position w:val="0"/>
        <w:highlight w:val="none"/>
        <w:vertAlign w:val="baseline"/>
      </w:rPr>
    </w:lvl>
    <w:lvl w:ilvl="5" w:tplc="96F4B248">
      <w:start w:val="1"/>
      <w:numFmt w:val="lowerRoman"/>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669"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FB6D2CA">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AC848C">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CEF976">
      <w:start w:val="1"/>
      <w:numFmt w:val="lowerRoman"/>
      <w:suff w:val="nothing"/>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720" w:hanging="1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8576C00"/>
    <w:multiLevelType w:val="hybridMultilevel"/>
    <w:tmpl w:val="40C2D2F6"/>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31F36F34"/>
    <w:multiLevelType w:val="hybridMultilevel"/>
    <w:tmpl w:val="3E26A47A"/>
    <w:lvl w:ilvl="0" w:tplc="65780C4E">
      <w:start w:val="1"/>
      <w:numFmt w:val="lowerLetter"/>
      <w:lvlText w:val="%1)"/>
      <w:lvlJc w:val="left"/>
      <w:pPr>
        <w:ind w:left="720" w:hanging="360"/>
      </w:pPr>
      <w:rPr>
        <w:b w:val="0"/>
        <w:bCs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3D24604E"/>
    <w:multiLevelType w:val="hybridMultilevel"/>
    <w:tmpl w:val="9C04DB2A"/>
    <w:lvl w:ilvl="0" w:tplc="580A0019">
      <w:start w:val="1"/>
      <w:numFmt w:val="lowerLetter"/>
      <w:lvlText w:val="%1."/>
      <w:lvlJc w:val="left"/>
      <w:pPr>
        <w:ind w:left="108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08F7B52"/>
    <w:multiLevelType w:val="hybridMultilevel"/>
    <w:tmpl w:val="A802DD82"/>
    <w:lvl w:ilvl="0" w:tplc="201AF164">
      <w:start w:val="1"/>
      <w:numFmt w:val="bullet"/>
      <w:lvlText w:val="•"/>
      <w:lvlJc w:val="left"/>
      <w:pPr>
        <w:ind w:left="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48BA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16CD3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CAA90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7672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CCB1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DA81F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E2F43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668D1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903728"/>
    <w:multiLevelType w:val="hybridMultilevel"/>
    <w:tmpl w:val="7D466E18"/>
    <w:styleLink w:val="ImportedStyle3"/>
    <w:lvl w:ilvl="0" w:tplc="183E7974">
      <w:start w:val="1"/>
      <w:numFmt w:val="lowerLetter"/>
      <w:lvlText w:val="%1)"/>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129"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E1BC9E34">
      <w:start w:val="1"/>
      <w:numFmt w:val="low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9"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B3649A6E">
      <w:start w:val="1"/>
      <w:numFmt w:val="lowerRoman"/>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18"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1132FA30">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38" w:hanging="369"/>
      </w:pPr>
      <w:rPr>
        <w:rFonts w:hAnsi="Arial Unicode MS"/>
        <w:caps w:val="0"/>
        <w:smallCaps w:val="0"/>
        <w:strike w:val="0"/>
        <w:dstrike w:val="0"/>
        <w:outline w:val="0"/>
        <w:emboss w:val="0"/>
        <w:imprint w:val="0"/>
        <w:spacing w:val="0"/>
        <w:w w:val="100"/>
        <w:kern w:val="0"/>
        <w:position w:val="0"/>
        <w:highlight w:val="none"/>
        <w:vertAlign w:val="baseline"/>
      </w:rPr>
    </w:lvl>
    <w:lvl w:ilvl="4" w:tplc="C944D1CC">
      <w:start w:val="1"/>
      <w:numFmt w:val="lowerLetter"/>
      <w:lvlText w:val="%5."/>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9"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0FF69600">
      <w:start w:val="1"/>
      <w:numFmt w:val="lowerRoman"/>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678"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12384844">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398" w:hanging="369"/>
      </w:pPr>
      <w:rPr>
        <w:rFonts w:hAnsi="Arial Unicode MS"/>
        <w:caps w:val="0"/>
        <w:smallCaps w:val="0"/>
        <w:strike w:val="0"/>
        <w:dstrike w:val="0"/>
        <w:outline w:val="0"/>
        <w:emboss w:val="0"/>
        <w:imprint w:val="0"/>
        <w:spacing w:val="0"/>
        <w:w w:val="100"/>
        <w:kern w:val="0"/>
        <w:position w:val="0"/>
        <w:highlight w:val="none"/>
        <w:vertAlign w:val="baseline"/>
      </w:rPr>
    </w:lvl>
    <w:lvl w:ilvl="7" w:tplc="BE1816D6">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18" w:hanging="369"/>
      </w:pPr>
      <w:rPr>
        <w:rFonts w:hAnsi="Arial Unicode MS"/>
        <w:caps w:val="0"/>
        <w:smallCaps w:val="0"/>
        <w:strike w:val="0"/>
        <w:dstrike w:val="0"/>
        <w:outline w:val="0"/>
        <w:emboss w:val="0"/>
        <w:imprint w:val="0"/>
        <w:spacing w:val="0"/>
        <w:w w:val="100"/>
        <w:kern w:val="0"/>
        <w:position w:val="0"/>
        <w:highlight w:val="none"/>
        <w:vertAlign w:val="baseline"/>
      </w:rPr>
    </w:lvl>
    <w:lvl w:ilvl="8" w:tplc="5D18F24A">
      <w:start w:val="1"/>
      <w:numFmt w:val="lowerRoman"/>
      <w:suff w:val="nothing"/>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729" w:hanging="2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4106D3A"/>
    <w:multiLevelType w:val="hybridMultilevel"/>
    <w:tmpl w:val="17DA8784"/>
    <w:lvl w:ilvl="0" w:tplc="DD9AE18E">
      <w:start w:val="6"/>
      <w:numFmt w:val="decimal"/>
      <w:lvlText w:val="%1-"/>
      <w:lvlJc w:val="left"/>
      <w:pPr>
        <w:ind w:left="36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8BB615C"/>
    <w:multiLevelType w:val="hybridMultilevel"/>
    <w:tmpl w:val="FFA05B48"/>
    <w:lvl w:ilvl="0" w:tplc="580A0017">
      <w:start w:val="1"/>
      <w:numFmt w:val="lowerLetter"/>
      <w:lvlText w:val="%1)"/>
      <w:lvlJc w:val="left"/>
      <w:pPr>
        <w:ind w:left="720" w:hanging="360"/>
      </w:pPr>
      <w:rPr>
        <w:rFonts w:hint="default"/>
        <w:b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4ED336B9"/>
    <w:multiLevelType w:val="hybridMultilevel"/>
    <w:tmpl w:val="2626DFA6"/>
    <w:styleLink w:val="ImportedStyle4"/>
    <w:lvl w:ilvl="0" w:tplc="6CCE9394">
      <w:start w:val="1"/>
      <w:numFmt w:val="low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24CF4">
      <w:start w:val="1"/>
      <w:numFmt w:val="low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5E525A">
      <w:start w:val="1"/>
      <w:numFmt w:val="lowerRoman"/>
      <w:suff w:val="nothing"/>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80" w:hanging="182"/>
      </w:pPr>
      <w:rPr>
        <w:rFonts w:hAnsi="Arial Unicode MS"/>
        <w:caps w:val="0"/>
        <w:smallCaps w:val="0"/>
        <w:strike w:val="0"/>
        <w:dstrike w:val="0"/>
        <w:outline w:val="0"/>
        <w:emboss w:val="0"/>
        <w:imprint w:val="0"/>
        <w:spacing w:val="0"/>
        <w:w w:val="100"/>
        <w:kern w:val="0"/>
        <w:position w:val="0"/>
        <w:highlight w:val="none"/>
        <w:vertAlign w:val="baseline"/>
      </w:rPr>
    </w:lvl>
    <w:lvl w:ilvl="3" w:tplc="B18CE0B8">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3002FE">
      <w:start w:val="1"/>
      <w:numFmt w:val="low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BA6C00">
      <w:start w:val="1"/>
      <w:numFmt w:val="lowerRoman"/>
      <w:lvlText w:val="%6."/>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262"/>
      </w:pPr>
      <w:rPr>
        <w:rFonts w:hAnsi="Arial Unicode MS"/>
        <w:caps w:val="0"/>
        <w:smallCaps w:val="0"/>
        <w:strike w:val="0"/>
        <w:dstrike w:val="0"/>
        <w:outline w:val="0"/>
        <w:emboss w:val="0"/>
        <w:imprint w:val="0"/>
        <w:spacing w:val="0"/>
        <w:w w:val="100"/>
        <w:kern w:val="0"/>
        <w:position w:val="0"/>
        <w:highlight w:val="none"/>
        <w:vertAlign w:val="baseline"/>
      </w:rPr>
    </w:lvl>
    <w:lvl w:ilvl="6" w:tplc="B90A32FE">
      <w:start w:val="1"/>
      <w:numFmt w:val="decimal"/>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80" w:hanging="160"/>
      </w:pPr>
      <w:rPr>
        <w:rFonts w:hAnsi="Arial Unicode MS"/>
        <w:caps w:val="0"/>
        <w:smallCaps w:val="0"/>
        <w:strike w:val="0"/>
        <w:dstrike w:val="0"/>
        <w:outline w:val="0"/>
        <w:emboss w:val="0"/>
        <w:imprint w:val="0"/>
        <w:spacing w:val="0"/>
        <w:w w:val="100"/>
        <w:kern w:val="0"/>
        <w:position w:val="0"/>
        <w:highlight w:val="none"/>
        <w:vertAlign w:val="baseline"/>
      </w:rPr>
    </w:lvl>
    <w:lvl w:ilvl="7" w:tplc="C79C5846">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26D3BC">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0D530CA"/>
    <w:multiLevelType w:val="hybridMultilevel"/>
    <w:tmpl w:val="2626DFA6"/>
    <w:numStyleLink w:val="ImportedStyle4"/>
  </w:abstractNum>
  <w:abstractNum w:abstractNumId="13" w15:restartNumberingAfterBreak="0">
    <w:nsid w:val="5A384DE4"/>
    <w:multiLevelType w:val="hybridMultilevel"/>
    <w:tmpl w:val="EDFA267E"/>
    <w:numStyleLink w:val="ImportedStyle1"/>
  </w:abstractNum>
  <w:abstractNum w:abstractNumId="14" w15:restartNumberingAfterBreak="0">
    <w:nsid w:val="5F865ED6"/>
    <w:multiLevelType w:val="hybridMultilevel"/>
    <w:tmpl w:val="7D466E18"/>
    <w:numStyleLink w:val="ImportedStyle3"/>
  </w:abstractNum>
  <w:abstractNum w:abstractNumId="15" w15:restartNumberingAfterBreak="0">
    <w:nsid w:val="651E070A"/>
    <w:multiLevelType w:val="hybridMultilevel"/>
    <w:tmpl w:val="DD70CBEC"/>
    <w:lvl w:ilvl="0" w:tplc="065E99FC">
      <w:start w:val="1"/>
      <w:numFmt w:val="decimal"/>
      <w:lvlText w:val="%1."/>
      <w:lvlJc w:val="left"/>
      <w:pPr>
        <w:ind w:left="709" w:hanging="502"/>
      </w:pPr>
      <w:rPr>
        <w:rFonts w:ascii="Futura Lt BT" w:hAnsi="Futura Lt BT" w:cs="Helvetica" w:hint="default"/>
        <w:b w:val="0"/>
        <w:bCs w:val="0"/>
        <w:i w:val="0"/>
        <w:iCs w:val="0"/>
        <w:caps w:val="0"/>
        <w:strike w:val="0"/>
        <w:dstrike w:val="0"/>
        <w:outline w:val="0"/>
        <w:emboss w:val="0"/>
        <w:imprint w:val="0"/>
        <w:color w:val="000000"/>
        <w:spacing w:val="0"/>
        <w:w w:val="100"/>
        <w:kern w:val="0"/>
        <w:position w:val="0"/>
        <w:sz w:val="23"/>
        <w:szCs w:val="24"/>
        <w:vertAlign w:val="baseline"/>
      </w:rPr>
    </w:lvl>
    <w:lvl w:ilvl="1" w:tplc="02AE358E">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D00D9D"/>
    <w:multiLevelType w:val="hybridMultilevel"/>
    <w:tmpl w:val="EDFA267E"/>
    <w:styleLink w:val="ImportedStyle1"/>
    <w:lvl w:ilvl="0" w:tplc="0504B470">
      <w:start w:val="1"/>
      <w:numFmt w:val="decimal"/>
      <w:lvlText w:val="%1."/>
      <w:lvlJc w:val="left"/>
      <w:pPr>
        <w:tabs>
          <w:tab w:val="left" w:pos="851"/>
          <w:tab w:val="left" w:pos="1680"/>
          <w:tab w:val="left" w:pos="2240"/>
          <w:tab w:val="left" w:pos="2800"/>
          <w:tab w:val="left" w:pos="3360"/>
          <w:tab w:val="left" w:pos="3920"/>
          <w:tab w:val="left" w:pos="4480"/>
          <w:tab w:val="left" w:pos="5040"/>
          <w:tab w:val="left" w:pos="5600"/>
          <w:tab w:val="left" w:pos="6160"/>
          <w:tab w:val="left" w:pos="6720"/>
        </w:tabs>
        <w:ind w:left="709" w:hanging="50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A3DA9446">
      <w:start w:val="1"/>
      <w:numFmt w:val="lowerLetter"/>
      <w:lvlText w:val="%2."/>
      <w:lvlJc w:val="left"/>
      <w:pPr>
        <w:tabs>
          <w:tab w:val="left" w:pos="851"/>
          <w:tab w:val="left" w:pos="1680"/>
          <w:tab w:val="left" w:pos="2240"/>
          <w:tab w:val="left" w:pos="2800"/>
          <w:tab w:val="left" w:pos="3360"/>
          <w:tab w:val="left" w:pos="3920"/>
          <w:tab w:val="left" w:pos="4480"/>
          <w:tab w:val="left" w:pos="5040"/>
          <w:tab w:val="left" w:pos="5600"/>
          <w:tab w:val="left" w:pos="6160"/>
          <w:tab w:val="left" w:pos="6720"/>
        </w:tabs>
        <w:ind w:left="1429" w:hanging="50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9FA2046">
      <w:start w:val="1"/>
      <w:numFmt w:val="lowerRoman"/>
      <w:lvlText w:val="%3."/>
      <w:lvlJc w:val="left"/>
      <w:pPr>
        <w:tabs>
          <w:tab w:val="left" w:pos="851"/>
          <w:tab w:val="left" w:pos="1680"/>
          <w:tab w:val="left" w:pos="2240"/>
          <w:tab w:val="left" w:pos="2800"/>
          <w:tab w:val="left" w:pos="3360"/>
          <w:tab w:val="left" w:pos="3920"/>
          <w:tab w:val="left" w:pos="4480"/>
          <w:tab w:val="left" w:pos="5040"/>
          <w:tab w:val="left" w:pos="5600"/>
          <w:tab w:val="left" w:pos="6160"/>
          <w:tab w:val="left" w:pos="6720"/>
        </w:tabs>
        <w:ind w:left="2149" w:hanging="44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2F6572A">
      <w:start w:val="1"/>
      <w:numFmt w:val="decimal"/>
      <w:lvlText w:val="%4."/>
      <w:lvlJc w:val="left"/>
      <w:pPr>
        <w:tabs>
          <w:tab w:val="left" w:pos="851"/>
          <w:tab w:val="left" w:pos="1680"/>
          <w:tab w:val="left" w:pos="2240"/>
          <w:tab w:val="left" w:pos="3360"/>
          <w:tab w:val="left" w:pos="3920"/>
          <w:tab w:val="left" w:pos="4480"/>
          <w:tab w:val="left" w:pos="5040"/>
          <w:tab w:val="left" w:pos="5600"/>
          <w:tab w:val="left" w:pos="6160"/>
          <w:tab w:val="left" w:pos="6720"/>
        </w:tabs>
        <w:ind w:left="2800" w:hanging="43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C56BAE8">
      <w:start w:val="1"/>
      <w:numFmt w:val="lowerLetter"/>
      <w:lvlText w:val="%5."/>
      <w:lvlJc w:val="left"/>
      <w:pPr>
        <w:tabs>
          <w:tab w:val="left" w:pos="851"/>
          <w:tab w:val="left" w:pos="1680"/>
          <w:tab w:val="left" w:pos="2240"/>
          <w:tab w:val="left" w:pos="2800"/>
          <w:tab w:val="left" w:pos="3920"/>
          <w:tab w:val="left" w:pos="4480"/>
          <w:tab w:val="left" w:pos="5040"/>
          <w:tab w:val="left" w:pos="5600"/>
          <w:tab w:val="left" w:pos="6160"/>
          <w:tab w:val="left" w:pos="6720"/>
        </w:tabs>
        <w:ind w:left="3360" w:hanging="27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E24E126">
      <w:start w:val="1"/>
      <w:numFmt w:val="lowerRoman"/>
      <w:lvlText w:val="%6."/>
      <w:lvlJc w:val="left"/>
      <w:pPr>
        <w:tabs>
          <w:tab w:val="left" w:pos="851"/>
          <w:tab w:val="left" w:pos="1680"/>
          <w:tab w:val="left" w:pos="2240"/>
          <w:tab w:val="left" w:pos="2800"/>
          <w:tab w:val="left" w:pos="3360"/>
          <w:tab w:val="left" w:pos="3920"/>
          <w:tab w:val="left" w:pos="4480"/>
          <w:tab w:val="left" w:pos="5040"/>
          <w:tab w:val="left" w:pos="5600"/>
          <w:tab w:val="left" w:pos="6160"/>
          <w:tab w:val="left" w:pos="6720"/>
        </w:tabs>
        <w:ind w:left="4309" w:hanging="44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C6A68F8">
      <w:start w:val="1"/>
      <w:numFmt w:val="decimal"/>
      <w:lvlText w:val="%7."/>
      <w:lvlJc w:val="left"/>
      <w:pPr>
        <w:tabs>
          <w:tab w:val="left" w:pos="851"/>
          <w:tab w:val="left" w:pos="1680"/>
          <w:tab w:val="left" w:pos="2240"/>
          <w:tab w:val="left" w:pos="2800"/>
          <w:tab w:val="left" w:pos="3360"/>
          <w:tab w:val="left" w:pos="3920"/>
          <w:tab w:val="left" w:pos="4480"/>
          <w:tab w:val="left" w:pos="5040"/>
          <w:tab w:val="left" w:pos="5600"/>
          <w:tab w:val="left" w:pos="6160"/>
          <w:tab w:val="left" w:pos="6720"/>
        </w:tabs>
        <w:ind w:left="5029" w:hanging="50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ADE85D2">
      <w:start w:val="1"/>
      <w:numFmt w:val="lowerLetter"/>
      <w:lvlText w:val="%8."/>
      <w:lvlJc w:val="left"/>
      <w:pPr>
        <w:tabs>
          <w:tab w:val="left" w:pos="851"/>
          <w:tab w:val="left" w:pos="1680"/>
          <w:tab w:val="left" w:pos="2240"/>
          <w:tab w:val="left" w:pos="2800"/>
          <w:tab w:val="left" w:pos="3360"/>
          <w:tab w:val="left" w:pos="3920"/>
          <w:tab w:val="left" w:pos="4480"/>
          <w:tab w:val="left" w:pos="5040"/>
          <w:tab w:val="left" w:pos="6160"/>
          <w:tab w:val="left" w:pos="6720"/>
        </w:tabs>
        <w:ind w:left="5600" w:hanging="35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6B4626C">
      <w:start w:val="1"/>
      <w:numFmt w:val="lowerRoman"/>
      <w:suff w:val="nothing"/>
      <w:lvlText w:val="%9."/>
      <w:lvlJc w:val="left"/>
      <w:pPr>
        <w:tabs>
          <w:tab w:val="left" w:pos="851"/>
          <w:tab w:val="left" w:pos="1680"/>
          <w:tab w:val="left" w:pos="2240"/>
          <w:tab w:val="left" w:pos="2800"/>
          <w:tab w:val="left" w:pos="3360"/>
          <w:tab w:val="left" w:pos="3920"/>
          <w:tab w:val="left" w:pos="4480"/>
          <w:tab w:val="left" w:pos="5040"/>
          <w:tab w:val="left" w:pos="5600"/>
          <w:tab w:val="left" w:pos="6160"/>
          <w:tab w:val="left" w:pos="6720"/>
        </w:tabs>
        <w:ind w:left="6160" w:hanging="13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BB96767"/>
    <w:multiLevelType w:val="hybridMultilevel"/>
    <w:tmpl w:val="487E5D10"/>
    <w:lvl w:ilvl="0" w:tplc="DE260FAA">
      <w:start w:val="1"/>
      <w:numFmt w:val="decimal"/>
      <w:lvlText w:val="%1."/>
      <w:lvlJc w:val="left"/>
      <w:pPr>
        <w:ind w:left="360" w:hanging="360"/>
      </w:pPr>
      <w:rPr>
        <w:rFonts w:ascii="Futura Lt BT" w:hAnsi="Futura Lt BT" w:hint="default"/>
        <w:b w:val="0"/>
        <w:bCs/>
        <w:i w:val="0"/>
        <w:caps w:val="0"/>
        <w:strike w:val="0"/>
        <w:dstrike w:val="0"/>
        <w:vanish w:val="0"/>
        <w:color w:val="auto"/>
        <w:sz w:val="24"/>
        <w:szCs w:val="30"/>
        <w:vertAlign w:val="baseline"/>
      </w:rPr>
    </w:lvl>
    <w:lvl w:ilvl="1" w:tplc="580A0019">
      <w:start w:val="1"/>
      <w:numFmt w:val="lowerLetter"/>
      <w:lvlText w:val="%2."/>
      <w:lvlJc w:val="left"/>
      <w:pPr>
        <w:ind w:left="1080" w:hanging="360"/>
      </w:pPr>
    </w:lvl>
    <w:lvl w:ilvl="2" w:tplc="580A001B">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8" w15:restartNumberingAfterBreak="0">
    <w:nsid w:val="7EB06C0F"/>
    <w:multiLevelType w:val="hybridMultilevel"/>
    <w:tmpl w:val="77FA47E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6"/>
  </w:num>
  <w:num w:numId="2">
    <w:abstractNumId w:val="13"/>
  </w:num>
  <w:num w:numId="3">
    <w:abstractNumId w:val="3"/>
  </w:num>
  <w:num w:numId="4">
    <w:abstractNumId w:val="2"/>
  </w:num>
  <w:num w:numId="5">
    <w:abstractNumId w:val="8"/>
  </w:num>
  <w:num w:numId="6">
    <w:abstractNumId w:val="14"/>
  </w:num>
  <w:num w:numId="7">
    <w:abstractNumId w:val="11"/>
  </w:num>
  <w:num w:numId="8">
    <w:abstractNumId w:val="12"/>
  </w:num>
  <w:num w:numId="9">
    <w:abstractNumId w:val="15"/>
  </w:num>
  <w:num w:numId="10">
    <w:abstractNumId w:val="0"/>
  </w:num>
  <w:num w:numId="11">
    <w:abstractNumId w:val="7"/>
  </w:num>
  <w:num w:numId="12">
    <w:abstractNumId w:val="10"/>
  </w:num>
  <w:num w:numId="13">
    <w:abstractNumId w:val="4"/>
  </w:num>
  <w:num w:numId="14">
    <w:abstractNumId w:val="5"/>
  </w:num>
  <w:num w:numId="15">
    <w:abstractNumId w:val="17"/>
  </w:num>
  <w:num w:numId="16">
    <w:abstractNumId w:val="9"/>
  </w:num>
  <w:num w:numId="17">
    <w:abstractNumId w:val="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8D"/>
    <w:rsid w:val="00001F3D"/>
    <w:rsid w:val="000148E9"/>
    <w:rsid w:val="000175AC"/>
    <w:rsid w:val="00021337"/>
    <w:rsid w:val="000239F9"/>
    <w:rsid w:val="000261F2"/>
    <w:rsid w:val="000261F5"/>
    <w:rsid w:val="0002765D"/>
    <w:rsid w:val="00046E9D"/>
    <w:rsid w:val="0005211A"/>
    <w:rsid w:val="00054E15"/>
    <w:rsid w:val="00061BB8"/>
    <w:rsid w:val="00067A87"/>
    <w:rsid w:val="00077D3B"/>
    <w:rsid w:val="00081297"/>
    <w:rsid w:val="00082658"/>
    <w:rsid w:val="00093D16"/>
    <w:rsid w:val="0009428D"/>
    <w:rsid w:val="000A297A"/>
    <w:rsid w:val="000A2FEB"/>
    <w:rsid w:val="000A37B7"/>
    <w:rsid w:val="000A38A7"/>
    <w:rsid w:val="000B40EF"/>
    <w:rsid w:val="000B6AEE"/>
    <w:rsid w:val="000C100C"/>
    <w:rsid w:val="000C33CE"/>
    <w:rsid w:val="000D266C"/>
    <w:rsid w:val="000D26F1"/>
    <w:rsid w:val="000E029B"/>
    <w:rsid w:val="000E1B34"/>
    <w:rsid w:val="000E4E08"/>
    <w:rsid w:val="000E7172"/>
    <w:rsid w:val="000F2DC4"/>
    <w:rsid w:val="000F45A4"/>
    <w:rsid w:val="000F7C27"/>
    <w:rsid w:val="00112A6F"/>
    <w:rsid w:val="00140DB7"/>
    <w:rsid w:val="00144B94"/>
    <w:rsid w:val="00153A37"/>
    <w:rsid w:val="00157EE4"/>
    <w:rsid w:val="0016695F"/>
    <w:rsid w:val="001676FD"/>
    <w:rsid w:val="00173D14"/>
    <w:rsid w:val="00174117"/>
    <w:rsid w:val="0017719D"/>
    <w:rsid w:val="00184E8D"/>
    <w:rsid w:val="00186471"/>
    <w:rsid w:val="00187CDB"/>
    <w:rsid w:val="00194CE4"/>
    <w:rsid w:val="001B7490"/>
    <w:rsid w:val="001C1383"/>
    <w:rsid w:val="001C1899"/>
    <w:rsid w:val="001C4444"/>
    <w:rsid w:val="001C5334"/>
    <w:rsid w:val="001C562E"/>
    <w:rsid w:val="001C7F34"/>
    <w:rsid w:val="001D79B2"/>
    <w:rsid w:val="001E0DA1"/>
    <w:rsid w:val="001E4104"/>
    <w:rsid w:val="001E5ED4"/>
    <w:rsid w:val="001F1061"/>
    <w:rsid w:val="001F13CC"/>
    <w:rsid w:val="001F24AC"/>
    <w:rsid w:val="001F5E4E"/>
    <w:rsid w:val="001F7281"/>
    <w:rsid w:val="00214100"/>
    <w:rsid w:val="002203A3"/>
    <w:rsid w:val="00225593"/>
    <w:rsid w:val="00231894"/>
    <w:rsid w:val="0023270D"/>
    <w:rsid w:val="002329F6"/>
    <w:rsid w:val="00232A5D"/>
    <w:rsid w:val="00241B44"/>
    <w:rsid w:val="002420FF"/>
    <w:rsid w:val="002438A0"/>
    <w:rsid w:val="00243BB2"/>
    <w:rsid w:val="00246B93"/>
    <w:rsid w:val="00254E4B"/>
    <w:rsid w:val="00260268"/>
    <w:rsid w:val="00261947"/>
    <w:rsid w:val="00265F88"/>
    <w:rsid w:val="002702EE"/>
    <w:rsid w:val="00270639"/>
    <w:rsid w:val="002707C2"/>
    <w:rsid w:val="00294780"/>
    <w:rsid w:val="00295AD5"/>
    <w:rsid w:val="002A1152"/>
    <w:rsid w:val="002A4117"/>
    <w:rsid w:val="002B417A"/>
    <w:rsid w:val="002B47A9"/>
    <w:rsid w:val="002D2FAA"/>
    <w:rsid w:val="002D6B64"/>
    <w:rsid w:val="002D77A4"/>
    <w:rsid w:val="002D792C"/>
    <w:rsid w:val="002E3C51"/>
    <w:rsid w:val="002E5C08"/>
    <w:rsid w:val="002F318C"/>
    <w:rsid w:val="002F600B"/>
    <w:rsid w:val="00300C23"/>
    <w:rsid w:val="003026DB"/>
    <w:rsid w:val="003028E8"/>
    <w:rsid w:val="00312DA4"/>
    <w:rsid w:val="0032583E"/>
    <w:rsid w:val="00325C78"/>
    <w:rsid w:val="0033086E"/>
    <w:rsid w:val="00337C1E"/>
    <w:rsid w:val="00345522"/>
    <w:rsid w:val="00345812"/>
    <w:rsid w:val="00345B0A"/>
    <w:rsid w:val="00345CA8"/>
    <w:rsid w:val="00355F66"/>
    <w:rsid w:val="00357D35"/>
    <w:rsid w:val="00360E31"/>
    <w:rsid w:val="0036180C"/>
    <w:rsid w:val="00363890"/>
    <w:rsid w:val="00363A54"/>
    <w:rsid w:val="003655DC"/>
    <w:rsid w:val="003720C5"/>
    <w:rsid w:val="00374F35"/>
    <w:rsid w:val="00387F28"/>
    <w:rsid w:val="00390421"/>
    <w:rsid w:val="00391311"/>
    <w:rsid w:val="003922B4"/>
    <w:rsid w:val="003A2057"/>
    <w:rsid w:val="003A3B25"/>
    <w:rsid w:val="003A3E84"/>
    <w:rsid w:val="003A4B98"/>
    <w:rsid w:val="003A685C"/>
    <w:rsid w:val="003A6873"/>
    <w:rsid w:val="003B0A1F"/>
    <w:rsid w:val="003B23C1"/>
    <w:rsid w:val="003C49AE"/>
    <w:rsid w:val="003D7291"/>
    <w:rsid w:val="003E202C"/>
    <w:rsid w:val="003E35C3"/>
    <w:rsid w:val="003E63A1"/>
    <w:rsid w:val="003E6CE3"/>
    <w:rsid w:val="003F697A"/>
    <w:rsid w:val="003F6CA1"/>
    <w:rsid w:val="00405083"/>
    <w:rsid w:val="00410B18"/>
    <w:rsid w:val="004149C2"/>
    <w:rsid w:val="00415C6A"/>
    <w:rsid w:val="0041755C"/>
    <w:rsid w:val="004176D7"/>
    <w:rsid w:val="004202A9"/>
    <w:rsid w:val="00422188"/>
    <w:rsid w:val="00427747"/>
    <w:rsid w:val="00433334"/>
    <w:rsid w:val="00436E46"/>
    <w:rsid w:val="00442896"/>
    <w:rsid w:val="00446CE9"/>
    <w:rsid w:val="00450F88"/>
    <w:rsid w:val="004527C4"/>
    <w:rsid w:val="00456A87"/>
    <w:rsid w:val="0046090B"/>
    <w:rsid w:val="00465103"/>
    <w:rsid w:val="00480F29"/>
    <w:rsid w:val="00483FDF"/>
    <w:rsid w:val="00487AEC"/>
    <w:rsid w:val="004956EC"/>
    <w:rsid w:val="004A3BA5"/>
    <w:rsid w:val="004B78C8"/>
    <w:rsid w:val="004D2BC6"/>
    <w:rsid w:val="004D5918"/>
    <w:rsid w:val="004E0F5D"/>
    <w:rsid w:val="004E4E72"/>
    <w:rsid w:val="004E619B"/>
    <w:rsid w:val="004F319C"/>
    <w:rsid w:val="004F5942"/>
    <w:rsid w:val="004F6E59"/>
    <w:rsid w:val="004F6EF9"/>
    <w:rsid w:val="0050346A"/>
    <w:rsid w:val="00506B3E"/>
    <w:rsid w:val="0051003F"/>
    <w:rsid w:val="0051013F"/>
    <w:rsid w:val="005101EB"/>
    <w:rsid w:val="00512F90"/>
    <w:rsid w:val="00516B47"/>
    <w:rsid w:val="005247B5"/>
    <w:rsid w:val="00527E5C"/>
    <w:rsid w:val="00531070"/>
    <w:rsid w:val="005332DE"/>
    <w:rsid w:val="0053522A"/>
    <w:rsid w:val="0054335D"/>
    <w:rsid w:val="00546494"/>
    <w:rsid w:val="00546D3C"/>
    <w:rsid w:val="00555863"/>
    <w:rsid w:val="005605FB"/>
    <w:rsid w:val="005619BE"/>
    <w:rsid w:val="00571DD9"/>
    <w:rsid w:val="00571F7B"/>
    <w:rsid w:val="005729F3"/>
    <w:rsid w:val="00574076"/>
    <w:rsid w:val="00580FA8"/>
    <w:rsid w:val="0058209D"/>
    <w:rsid w:val="00583511"/>
    <w:rsid w:val="005905C1"/>
    <w:rsid w:val="00593207"/>
    <w:rsid w:val="005973E8"/>
    <w:rsid w:val="005A17EF"/>
    <w:rsid w:val="005A3727"/>
    <w:rsid w:val="005A3E06"/>
    <w:rsid w:val="005A3E4F"/>
    <w:rsid w:val="005B5E1C"/>
    <w:rsid w:val="005B6483"/>
    <w:rsid w:val="005C14B4"/>
    <w:rsid w:val="005C2F8C"/>
    <w:rsid w:val="005C4B0A"/>
    <w:rsid w:val="005D1355"/>
    <w:rsid w:val="005D31EB"/>
    <w:rsid w:val="005F35B4"/>
    <w:rsid w:val="005F540A"/>
    <w:rsid w:val="005F763C"/>
    <w:rsid w:val="00603FBA"/>
    <w:rsid w:val="0061102B"/>
    <w:rsid w:val="006134B5"/>
    <w:rsid w:val="00615B23"/>
    <w:rsid w:val="00630432"/>
    <w:rsid w:val="0063189B"/>
    <w:rsid w:val="00632532"/>
    <w:rsid w:val="00642766"/>
    <w:rsid w:val="0064492E"/>
    <w:rsid w:val="00645A78"/>
    <w:rsid w:val="00650980"/>
    <w:rsid w:val="006550F4"/>
    <w:rsid w:val="00655285"/>
    <w:rsid w:val="006554C8"/>
    <w:rsid w:val="00657EC9"/>
    <w:rsid w:val="00663545"/>
    <w:rsid w:val="00664BC8"/>
    <w:rsid w:val="006670B9"/>
    <w:rsid w:val="00671D80"/>
    <w:rsid w:val="0067574C"/>
    <w:rsid w:val="00681E02"/>
    <w:rsid w:val="00690FF4"/>
    <w:rsid w:val="006932C8"/>
    <w:rsid w:val="0069722B"/>
    <w:rsid w:val="006A19A0"/>
    <w:rsid w:val="006A5503"/>
    <w:rsid w:val="006B0221"/>
    <w:rsid w:val="006B1767"/>
    <w:rsid w:val="006B2858"/>
    <w:rsid w:val="006B2C37"/>
    <w:rsid w:val="006B38B6"/>
    <w:rsid w:val="006C11F9"/>
    <w:rsid w:val="006C3BCE"/>
    <w:rsid w:val="006C49DC"/>
    <w:rsid w:val="006D4735"/>
    <w:rsid w:val="006D77AD"/>
    <w:rsid w:val="006E402B"/>
    <w:rsid w:val="006E5801"/>
    <w:rsid w:val="006E5847"/>
    <w:rsid w:val="006E6CDA"/>
    <w:rsid w:val="006F0E54"/>
    <w:rsid w:val="006F312E"/>
    <w:rsid w:val="0070371B"/>
    <w:rsid w:val="00703E39"/>
    <w:rsid w:val="007125CD"/>
    <w:rsid w:val="0071487B"/>
    <w:rsid w:val="00723C35"/>
    <w:rsid w:val="00726EFE"/>
    <w:rsid w:val="0073019B"/>
    <w:rsid w:val="00732342"/>
    <w:rsid w:val="00735638"/>
    <w:rsid w:val="00743DD2"/>
    <w:rsid w:val="00746551"/>
    <w:rsid w:val="00747378"/>
    <w:rsid w:val="007513EF"/>
    <w:rsid w:val="007629D2"/>
    <w:rsid w:val="00762B32"/>
    <w:rsid w:val="007635BE"/>
    <w:rsid w:val="00775308"/>
    <w:rsid w:val="00781781"/>
    <w:rsid w:val="007830B8"/>
    <w:rsid w:val="00790A25"/>
    <w:rsid w:val="007910F2"/>
    <w:rsid w:val="0079454A"/>
    <w:rsid w:val="007A09E3"/>
    <w:rsid w:val="007A5A31"/>
    <w:rsid w:val="007B4EB3"/>
    <w:rsid w:val="007B76E6"/>
    <w:rsid w:val="007C5FA6"/>
    <w:rsid w:val="007D0CA3"/>
    <w:rsid w:val="007D366C"/>
    <w:rsid w:val="007D65F5"/>
    <w:rsid w:val="007D71FE"/>
    <w:rsid w:val="007D76CB"/>
    <w:rsid w:val="007E5264"/>
    <w:rsid w:val="007E5F12"/>
    <w:rsid w:val="007E717A"/>
    <w:rsid w:val="007E7467"/>
    <w:rsid w:val="008013CB"/>
    <w:rsid w:val="008014C5"/>
    <w:rsid w:val="00804B3C"/>
    <w:rsid w:val="00805392"/>
    <w:rsid w:val="008068BD"/>
    <w:rsid w:val="00814D94"/>
    <w:rsid w:val="00833C03"/>
    <w:rsid w:val="00841D00"/>
    <w:rsid w:val="00846998"/>
    <w:rsid w:val="00847FAE"/>
    <w:rsid w:val="00851A45"/>
    <w:rsid w:val="0085652E"/>
    <w:rsid w:val="0086022D"/>
    <w:rsid w:val="00860983"/>
    <w:rsid w:val="0086150F"/>
    <w:rsid w:val="008635F3"/>
    <w:rsid w:val="00866888"/>
    <w:rsid w:val="00874B7A"/>
    <w:rsid w:val="00876D98"/>
    <w:rsid w:val="00885573"/>
    <w:rsid w:val="00893FAA"/>
    <w:rsid w:val="00894C29"/>
    <w:rsid w:val="008961B0"/>
    <w:rsid w:val="00897AA9"/>
    <w:rsid w:val="008A5A1F"/>
    <w:rsid w:val="008B0001"/>
    <w:rsid w:val="008B3844"/>
    <w:rsid w:val="008B73AD"/>
    <w:rsid w:val="008C5837"/>
    <w:rsid w:val="008C6DFB"/>
    <w:rsid w:val="008E35EA"/>
    <w:rsid w:val="008E5771"/>
    <w:rsid w:val="008E695D"/>
    <w:rsid w:val="008F15BC"/>
    <w:rsid w:val="00901E54"/>
    <w:rsid w:val="009119A7"/>
    <w:rsid w:val="00912978"/>
    <w:rsid w:val="009130C2"/>
    <w:rsid w:val="00925BD2"/>
    <w:rsid w:val="00925CAF"/>
    <w:rsid w:val="0093301C"/>
    <w:rsid w:val="00933A26"/>
    <w:rsid w:val="009408EA"/>
    <w:rsid w:val="00944DCB"/>
    <w:rsid w:val="00951880"/>
    <w:rsid w:val="00955255"/>
    <w:rsid w:val="00967C96"/>
    <w:rsid w:val="0097093C"/>
    <w:rsid w:val="00977791"/>
    <w:rsid w:val="0098113F"/>
    <w:rsid w:val="00985EBD"/>
    <w:rsid w:val="00995080"/>
    <w:rsid w:val="0099724A"/>
    <w:rsid w:val="009B6ED3"/>
    <w:rsid w:val="009B7143"/>
    <w:rsid w:val="009C0F9D"/>
    <w:rsid w:val="009C732A"/>
    <w:rsid w:val="009D2E70"/>
    <w:rsid w:val="009D3E31"/>
    <w:rsid w:val="009D7340"/>
    <w:rsid w:val="009E0A85"/>
    <w:rsid w:val="009F2D09"/>
    <w:rsid w:val="009F4465"/>
    <w:rsid w:val="00A1144E"/>
    <w:rsid w:val="00A15C2E"/>
    <w:rsid w:val="00A2081D"/>
    <w:rsid w:val="00A234F9"/>
    <w:rsid w:val="00A3134D"/>
    <w:rsid w:val="00A441B0"/>
    <w:rsid w:val="00A45C33"/>
    <w:rsid w:val="00A47C06"/>
    <w:rsid w:val="00A540EF"/>
    <w:rsid w:val="00A55778"/>
    <w:rsid w:val="00A55DBC"/>
    <w:rsid w:val="00A65B37"/>
    <w:rsid w:val="00A7518C"/>
    <w:rsid w:val="00A76E2E"/>
    <w:rsid w:val="00A76E90"/>
    <w:rsid w:val="00A811C0"/>
    <w:rsid w:val="00A87268"/>
    <w:rsid w:val="00A94EED"/>
    <w:rsid w:val="00A95790"/>
    <w:rsid w:val="00A95DFA"/>
    <w:rsid w:val="00A95F4E"/>
    <w:rsid w:val="00A971BA"/>
    <w:rsid w:val="00AA4FC7"/>
    <w:rsid w:val="00AB02A0"/>
    <w:rsid w:val="00AB5DBD"/>
    <w:rsid w:val="00AB75E2"/>
    <w:rsid w:val="00AC23BE"/>
    <w:rsid w:val="00AC4174"/>
    <w:rsid w:val="00AC52C3"/>
    <w:rsid w:val="00AC5B2E"/>
    <w:rsid w:val="00AC6907"/>
    <w:rsid w:val="00AE3BCA"/>
    <w:rsid w:val="00AE715B"/>
    <w:rsid w:val="00B007FA"/>
    <w:rsid w:val="00B13475"/>
    <w:rsid w:val="00B13709"/>
    <w:rsid w:val="00B15503"/>
    <w:rsid w:val="00B160EB"/>
    <w:rsid w:val="00B2478E"/>
    <w:rsid w:val="00B35292"/>
    <w:rsid w:val="00B35B9A"/>
    <w:rsid w:val="00B418CC"/>
    <w:rsid w:val="00B51D4D"/>
    <w:rsid w:val="00B608E5"/>
    <w:rsid w:val="00B64EB4"/>
    <w:rsid w:val="00B700F7"/>
    <w:rsid w:val="00B70345"/>
    <w:rsid w:val="00B7247F"/>
    <w:rsid w:val="00B73655"/>
    <w:rsid w:val="00B75081"/>
    <w:rsid w:val="00B76418"/>
    <w:rsid w:val="00B769FC"/>
    <w:rsid w:val="00B96388"/>
    <w:rsid w:val="00BB016B"/>
    <w:rsid w:val="00BB3B23"/>
    <w:rsid w:val="00BB6880"/>
    <w:rsid w:val="00BB71B4"/>
    <w:rsid w:val="00BC0EEA"/>
    <w:rsid w:val="00BC3F05"/>
    <w:rsid w:val="00BC4D60"/>
    <w:rsid w:val="00BC783F"/>
    <w:rsid w:val="00BD11C6"/>
    <w:rsid w:val="00BD3FA9"/>
    <w:rsid w:val="00BD4294"/>
    <w:rsid w:val="00BE0A49"/>
    <w:rsid w:val="00BE0B81"/>
    <w:rsid w:val="00BE1EB2"/>
    <w:rsid w:val="00BE2A3B"/>
    <w:rsid w:val="00BE6190"/>
    <w:rsid w:val="00BF4184"/>
    <w:rsid w:val="00BF7328"/>
    <w:rsid w:val="00C00679"/>
    <w:rsid w:val="00C00803"/>
    <w:rsid w:val="00C01EFA"/>
    <w:rsid w:val="00C03E10"/>
    <w:rsid w:val="00C3179C"/>
    <w:rsid w:val="00C41B0A"/>
    <w:rsid w:val="00C54E0D"/>
    <w:rsid w:val="00C5588D"/>
    <w:rsid w:val="00C57DCE"/>
    <w:rsid w:val="00C601A6"/>
    <w:rsid w:val="00C60DFC"/>
    <w:rsid w:val="00C64188"/>
    <w:rsid w:val="00C7466D"/>
    <w:rsid w:val="00C77816"/>
    <w:rsid w:val="00C816E5"/>
    <w:rsid w:val="00C830AD"/>
    <w:rsid w:val="00C83D6E"/>
    <w:rsid w:val="00C92E69"/>
    <w:rsid w:val="00CA053E"/>
    <w:rsid w:val="00CA05CD"/>
    <w:rsid w:val="00CA0FC4"/>
    <w:rsid w:val="00CA4E1B"/>
    <w:rsid w:val="00CB27B9"/>
    <w:rsid w:val="00CB3526"/>
    <w:rsid w:val="00CB5DD2"/>
    <w:rsid w:val="00CB6A4B"/>
    <w:rsid w:val="00CC004A"/>
    <w:rsid w:val="00CC0867"/>
    <w:rsid w:val="00CC56E9"/>
    <w:rsid w:val="00CD107B"/>
    <w:rsid w:val="00CE05C7"/>
    <w:rsid w:val="00CE271F"/>
    <w:rsid w:val="00CE273C"/>
    <w:rsid w:val="00D02B72"/>
    <w:rsid w:val="00D03FFF"/>
    <w:rsid w:val="00D1251C"/>
    <w:rsid w:val="00D14C86"/>
    <w:rsid w:val="00D26DAF"/>
    <w:rsid w:val="00D339DD"/>
    <w:rsid w:val="00D34512"/>
    <w:rsid w:val="00D356EF"/>
    <w:rsid w:val="00D368DD"/>
    <w:rsid w:val="00D36D85"/>
    <w:rsid w:val="00D43C3F"/>
    <w:rsid w:val="00D466EC"/>
    <w:rsid w:val="00D47329"/>
    <w:rsid w:val="00D71053"/>
    <w:rsid w:val="00D735FB"/>
    <w:rsid w:val="00D806AC"/>
    <w:rsid w:val="00D86293"/>
    <w:rsid w:val="00D86916"/>
    <w:rsid w:val="00DA04DE"/>
    <w:rsid w:val="00DA365E"/>
    <w:rsid w:val="00DB0A06"/>
    <w:rsid w:val="00DB12A6"/>
    <w:rsid w:val="00DB4D97"/>
    <w:rsid w:val="00DC14C8"/>
    <w:rsid w:val="00DD2B90"/>
    <w:rsid w:val="00DE208C"/>
    <w:rsid w:val="00DE30CA"/>
    <w:rsid w:val="00DE3DE0"/>
    <w:rsid w:val="00DF08B9"/>
    <w:rsid w:val="00DF2B01"/>
    <w:rsid w:val="00DF3862"/>
    <w:rsid w:val="00DF4147"/>
    <w:rsid w:val="00DF7366"/>
    <w:rsid w:val="00E03A12"/>
    <w:rsid w:val="00E05233"/>
    <w:rsid w:val="00E16147"/>
    <w:rsid w:val="00E17105"/>
    <w:rsid w:val="00E23FF1"/>
    <w:rsid w:val="00E25541"/>
    <w:rsid w:val="00E272CA"/>
    <w:rsid w:val="00E454FB"/>
    <w:rsid w:val="00E45831"/>
    <w:rsid w:val="00E531B6"/>
    <w:rsid w:val="00E550BE"/>
    <w:rsid w:val="00E5537C"/>
    <w:rsid w:val="00E577CD"/>
    <w:rsid w:val="00E615B9"/>
    <w:rsid w:val="00E64192"/>
    <w:rsid w:val="00E756F6"/>
    <w:rsid w:val="00E77EA0"/>
    <w:rsid w:val="00E82397"/>
    <w:rsid w:val="00E82FAC"/>
    <w:rsid w:val="00E8440A"/>
    <w:rsid w:val="00E97BAC"/>
    <w:rsid w:val="00EA65F9"/>
    <w:rsid w:val="00EA6E87"/>
    <w:rsid w:val="00EB131D"/>
    <w:rsid w:val="00EB3E93"/>
    <w:rsid w:val="00EC0F3A"/>
    <w:rsid w:val="00EC17BE"/>
    <w:rsid w:val="00EC4639"/>
    <w:rsid w:val="00ED6500"/>
    <w:rsid w:val="00EE03B4"/>
    <w:rsid w:val="00EE066D"/>
    <w:rsid w:val="00EE28B3"/>
    <w:rsid w:val="00EF0E1B"/>
    <w:rsid w:val="00EF49B6"/>
    <w:rsid w:val="00F00A11"/>
    <w:rsid w:val="00F0286E"/>
    <w:rsid w:val="00F1307F"/>
    <w:rsid w:val="00F1730E"/>
    <w:rsid w:val="00F2576C"/>
    <w:rsid w:val="00F34990"/>
    <w:rsid w:val="00F44696"/>
    <w:rsid w:val="00F62AAE"/>
    <w:rsid w:val="00F77520"/>
    <w:rsid w:val="00F84915"/>
    <w:rsid w:val="00F9607F"/>
    <w:rsid w:val="00F971BB"/>
    <w:rsid w:val="00FA577F"/>
    <w:rsid w:val="00FA75C4"/>
    <w:rsid w:val="00FA7720"/>
    <w:rsid w:val="00FB16E7"/>
    <w:rsid w:val="00FB2EC2"/>
    <w:rsid w:val="00FB6518"/>
    <w:rsid w:val="00FC0514"/>
    <w:rsid w:val="00FD0312"/>
    <w:rsid w:val="00FE0B9A"/>
    <w:rsid w:val="00FF0D9B"/>
    <w:rsid w:val="00FF1F5B"/>
    <w:rsid w:val="00FF2E52"/>
    <w:rsid w:val="00FF49BA"/>
    <w:rsid w:val="00FF74D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475E2C98"/>
  <w15:docId w15:val="{2AC820CD-4B66-4644-AA74-FA55D04B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CR" w:eastAsia="es-C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pPr>
      <w:spacing w:after="160" w:line="259" w:lineRule="auto"/>
    </w:pPr>
    <w:rPr>
      <w:rFonts w:ascii="Calibri" w:hAnsi="Calibri" w:cs="Arial Unicode MS"/>
      <w:color w:val="000000"/>
      <w:sz w:val="22"/>
      <w:szCs w:val="22"/>
      <w:u w:color="000000"/>
      <w:lang w:val="pt-P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Encabezado">
    <w:name w:val="header"/>
    <w:pPr>
      <w:tabs>
        <w:tab w:val="center" w:pos="4419"/>
        <w:tab w:val="right" w:pos="8838"/>
      </w:tabs>
    </w:pPr>
    <w:rPr>
      <w:rFonts w:ascii="Calibri" w:eastAsia="Calibri" w:hAnsi="Calibri" w:cs="Calibri"/>
      <w:color w:val="000000"/>
      <w:sz w:val="22"/>
      <w:szCs w:val="22"/>
      <w:u w:color="000000"/>
      <w:lang w:val="es-ES_tradnl"/>
    </w:rPr>
  </w:style>
  <w:style w:type="paragraph" w:styleId="Prrafodelista">
    <w:name w:val="List Paragraph"/>
    <w:link w:val="PrrafodelistaCar"/>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Textodeglobo">
    <w:name w:val="Balloon Text"/>
    <w:basedOn w:val="Normal"/>
    <w:link w:val="TextodegloboCar"/>
    <w:uiPriority w:val="99"/>
    <w:semiHidden/>
    <w:unhideWhenUsed/>
    <w:rsid w:val="00E97B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BAC"/>
    <w:rPr>
      <w:rFonts w:ascii="Segoe UI" w:hAnsi="Segoe UI" w:cs="Segoe UI"/>
      <w:sz w:val="18"/>
      <w:szCs w:val="18"/>
      <w:lang w:val="en-US" w:eastAsia="en-US"/>
    </w:rPr>
  </w:style>
  <w:style w:type="paragraph" w:styleId="Piedepgina">
    <w:name w:val="footer"/>
    <w:basedOn w:val="Normal"/>
    <w:link w:val="PiedepginaCar"/>
    <w:uiPriority w:val="99"/>
    <w:unhideWhenUsed/>
    <w:rsid w:val="00A540EF"/>
    <w:pPr>
      <w:tabs>
        <w:tab w:val="center" w:pos="4419"/>
        <w:tab w:val="right" w:pos="8838"/>
      </w:tabs>
    </w:pPr>
  </w:style>
  <w:style w:type="character" w:customStyle="1" w:styleId="PiedepginaCar">
    <w:name w:val="Pie de página Car"/>
    <w:basedOn w:val="Fuentedeprrafopredeter"/>
    <w:link w:val="Piedepgina"/>
    <w:uiPriority w:val="99"/>
    <w:rsid w:val="00A540EF"/>
    <w:rPr>
      <w:sz w:val="24"/>
      <w:szCs w:val="24"/>
      <w:lang w:val="en-US" w:eastAsia="en-US"/>
    </w:rPr>
  </w:style>
  <w:style w:type="paragraph" w:styleId="HTMLconformatoprevio">
    <w:name w:val="HTML Preformatted"/>
    <w:basedOn w:val="Normal"/>
    <w:link w:val="HTMLconformatoprevioCar"/>
    <w:uiPriority w:val="99"/>
    <w:semiHidden/>
    <w:unhideWhenUsed/>
    <w:rsid w:val="008C6DF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CR" w:eastAsia="es-CR"/>
    </w:rPr>
  </w:style>
  <w:style w:type="character" w:customStyle="1" w:styleId="HTMLconformatoprevioCar">
    <w:name w:val="HTML con formato previo Car"/>
    <w:basedOn w:val="Fuentedeprrafopredeter"/>
    <w:link w:val="HTMLconformatoprevio"/>
    <w:uiPriority w:val="99"/>
    <w:semiHidden/>
    <w:rsid w:val="008C6DFB"/>
    <w:rPr>
      <w:rFonts w:ascii="Courier New" w:eastAsia="Times New Roman" w:hAnsi="Courier New" w:cs="Courier New"/>
      <w:bdr w:val="none" w:sz="0" w:space="0" w:color="auto"/>
    </w:rPr>
  </w:style>
  <w:style w:type="table" w:styleId="Tablaconcuadrcula">
    <w:name w:val="Table Grid"/>
    <w:basedOn w:val="Tablanormal"/>
    <w:uiPriority w:val="39"/>
    <w:rsid w:val="008C6D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2"/>
      <w:szCs w:val="22"/>
      <w:bdr w:val="none" w:sz="0" w:space="0" w:color="auto"/>
      <w:lang w:val="en-US" w:eastAsia="en-US"/>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8C6DFB"/>
    <w:rPr>
      <w:rFonts w:ascii="Calibri" w:hAnsi="Calibri" w:cs="Arial Unicode MS"/>
      <w:color w:val="000000"/>
      <w:sz w:val="22"/>
      <w:szCs w:val="22"/>
      <w:u w:color="000000"/>
      <w:lang w:val="es-ES_tradnl"/>
    </w:rPr>
  </w:style>
  <w:style w:type="paragraph" w:customStyle="1" w:styleId="Default">
    <w:name w:val="Default"/>
    <w:rsid w:val="005A17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148918">
      <w:bodyDiv w:val="1"/>
      <w:marLeft w:val="0"/>
      <w:marRight w:val="0"/>
      <w:marTop w:val="0"/>
      <w:marBottom w:val="0"/>
      <w:divBdr>
        <w:top w:val="none" w:sz="0" w:space="0" w:color="auto"/>
        <w:left w:val="none" w:sz="0" w:space="0" w:color="auto"/>
        <w:bottom w:val="none" w:sz="0" w:space="0" w:color="auto"/>
        <w:right w:val="none" w:sz="0" w:space="0" w:color="auto"/>
      </w:divBdr>
    </w:div>
    <w:div w:id="1509904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6359</Words>
  <Characters>34979</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Rodriguez</dc:creator>
  <cp:lastModifiedBy>Ricardo Rodriguez</cp:lastModifiedBy>
  <cp:revision>46</cp:revision>
  <cp:lastPrinted>2020-11-20T13:50:00Z</cp:lastPrinted>
  <dcterms:created xsi:type="dcterms:W3CDTF">2021-03-26T20:41:00Z</dcterms:created>
  <dcterms:modified xsi:type="dcterms:W3CDTF">2021-07-05T19:55:00Z</dcterms:modified>
</cp:coreProperties>
</file>