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stilo111"/>
        <w:tblW w:w="12877" w:type="dxa"/>
        <w:tblInd w:w="0" w:type="dxa"/>
        <w:tblLook w:val="04A0" w:firstRow="1" w:lastRow="0" w:firstColumn="1" w:lastColumn="0" w:noHBand="0" w:noVBand="1"/>
      </w:tblPr>
      <w:tblGrid>
        <w:gridCol w:w="1906"/>
        <w:gridCol w:w="1342"/>
        <w:gridCol w:w="6311"/>
        <w:gridCol w:w="3318"/>
      </w:tblGrid>
      <w:tr w:rsidR="00DE1592" w:rsidRPr="004C7D2D" w14:paraId="5D407364" w14:textId="77777777" w:rsidTr="00FB43BE">
        <w:tc>
          <w:tcPr>
            <w:tcW w:w="3256" w:type="dxa"/>
            <w:gridSpan w:val="2"/>
            <w:tcBorders>
              <w:top w:val="single" w:sz="18" w:space="0" w:color="FFFFFF"/>
              <w:left w:val="single" w:sz="18" w:space="0" w:color="FFFFFF"/>
              <w:bottom w:val="single" w:sz="18" w:space="0" w:color="FFFFFF"/>
              <w:right w:val="single" w:sz="18" w:space="0" w:color="FFFFFF"/>
            </w:tcBorders>
          </w:tcPr>
          <w:p w14:paraId="2D535B83" w14:textId="77777777" w:rsidR="00DE1592" w:rsidRPr="004C7D2D" w:rsidRDefault="00DE1592" w:rsidP="00FB43BE">
            <w:pPr>
              <w:adjustRightInd w:val="0"/>
              <w:spacing w:after="0" w:line="360" w:lineRule="auto"/>
              <w:jc w:val="center"/>
              <w:rPr>
                <w:rFonts w:ascii="Futura Lt BT" w:hAnsi="Futura Lt BT" w:cs="ChollaWide"/>
                <w:b/>
                <w:color w:val="231F20"/>
                <w:sz w:val="28"/>
                <w:szCs w:val="28"/>
              </w:rPr>
            </w:pPr>
            <w:r w:rsidRPr="004C7D2D">
              <w:rPr>
                <w:rFonts w:ascii="Futura Lt BT" w:hAnsi="Futura Lt BT" w:cs="ChollaWide"/>
                <w:b/>
                <w:noProof/>
                <w:color w:val="231F20"/>
                <w:sz w:val="28"/>
                <w:szCs w:val="28"/>
              </w:rPr>
              <w:drawing>
                <wp:anchor distT="0" distB="0" distL="114300" distR="114300" simplePos="0" relativeHeight="251659264" behindDoc="0" locked="0" layoutInCell="1" allowOverlap="1" wp14:anchorId="6DDA3591" wp14:editId="0CB9CD69">
                  <wp:simplePos x="0" y="0"/>
                  <wp:positionH relativeFrom="column">
                    <wp:posOffset>320675</wp:posOffset>
                  </wp:positionH>
                  <wp:positionV relativeFrom="paragraph">
                    <wp:posOffset>104775</wp:posOffset>
                  </wp:positionV>
                  <wp:extent cx="1275261" cy="1352550"/>
                  <wp:effectExtent l="0" t="0" r="1270" b="0"/>
                  <wp:wrapThrough wrapText="bothSides">
                    <wp:wrapPolygon edited="0">
                      <wp:start x="7745" y="0"/>
                      <wp:lineTo x="4195" y="1521"/>
                      <wp:lineTo x="645" y="4259"/>
                      <wp:lineTo x="0" y="10039"/>
                      <wp:lineTo x="0" y="13082"/>
                      <wp:lineTo x="323" y="15820"/>
                      <wp:lineTo x="3873" y="19775"/>
                      <wp:lineTo x="7745" y="21296"/>
                      <wp:lineTo x="9036" y="21296"/>
                      <wp:lineTo x="11618" y="21296"/>
                      <wp:lineTo x="13554" y="21296"/>
                      <wp:lineTo x="16781" y="20383"/>
                      <wp:lineTo x="20976" y="15820"/>
                      <wp:lineTo x="21299" y="12473"/>
                      <wp:lineTo x="21299" y="9127"/>
                      <wp:lineTo x="20976" y="4259"/>
                      <wp:lineTo x="17104" y="1521"/>
                      <wp:lineTo x="13554" y="0"/>
                      <wp:lineTo x="7745"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MCA-princip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5261" cy="1352550"/>
                          </a:xfrm>
                          <a:prstGeom prst="rect">
                            <a:avLst/>
                          </a:prstGeom>
                        </pic:spPr>
                      </pic:pic>
                    </a:graphicData>
                  </a:graphic>
                </wp:anchor>
              </w:drawing>
            </w:r>
          </w:p>
        </w:tc>
        <w:tc>
          <w:tcPr>
            <w:tcW w:w="6360" w:type="dxa"/>
            <w:tcBorders>
              <w:top w:val="single" w:sz="18" w:space="0" w:color="FFFFFF"/>
              <w:left w:val="single" w:sz="18" w:space="0" w:color="FFFFFF"/>
              <w:bottom w:val="single" w:sz="18" w:space="0" w:color="FFFFFF"/>
              <w:right w:val="single" w:sz="18" w:space="0" w:color="FFFFFF"/>
            </w:tcBorders>
          </w:tcPr>
          <w:p w14:paraId="71EA8A6D" w14:textId="77777777" w:rsidR="00DE1592" w:rsidRPr="004C7D2D" w:rsidRDefault="00DE1592" w:rsidP="00B004D7">
            <w:pPr>
              <w:adjustRightInd w:val="0"/>
              <w:spacing w:after="0" w:line="360" w:lineRule="auto"/>
              <w:rPr>
                <w:rFonts w:ascii="Futura Lt BT" w:hAnsi="Futura Lt BT" w:cs="ChollaWide"/>
                <w:b/>
                <w:color w:val="231F20"/>
                <w:sz w:val="28"/>
                <w:szCs w:val="28"/>
              </w:rPr>
            </w:pPr>
          </w:p>
        </w:tc>
        <w:tc>
          <w:tcPr>
            <w:tcW w:w="3261" w:type="dxa"/>
            <w:tcBorders>
              <w:top w:val="single" w:sz="18" w:space="0" w:color="FFFFFF"/>
              <w:left w:val="single" w:sz="18" w:space="0" w:color="FFFFFF"/>
              <w:bottom w:val="single" w:sz="18" w:space="0" w:color="FFFFFF"/>
              <w:right w:val="single" w:sz="18" w:space="0" w:color="FFFFFF"/>
            </w:tcBorders>
          </w:tcPr>
          <w:p w14:paraId="4DCD6FA2" w14:textId="77777777" w:rsidR="00DE1592" w:rsidRPr="004C7D2D" w:rsidRDefault="00FB43BE" w:rsidP="00B004D7">
            <w:pPr>
              <w:adjustRightInd w:val="0"/>
              <w:spacing w:after="0" w:line="360" w:lineRule="auto"/>
              <w:rPr>
                <w:rFonts w:ascii="Futura Lt BT" w:hAnsi="Futura Lt BT" w:cs="ChollaWide"/>
                <w:b/>
                <w:color w:val="231F20"/>
                <w:sz w:val="28"/>
                <w:szCs w:val="28"/>
              </w:rPr>
            </w:pPr>
            <w:r w:rsidRPr="004C7D2D">
              <w:rPr>
                <w:rFonts w:ascii="Futura Lt BT" w:hAnsi="Futura Lt BT"/>
                <w:noProof/>
              </w:rPr>
              <w:drawing>
                <wp:anchor distT="0" distB="0" distL="114300" distR="114300" simplePos="0" relativeHeight="251658240" behindDoc="0" locked="0" layoutInCell="1" allowOverlap="1" wp14:anchorId="013BEB51" wp14:editId="2B6CEC81">
                  <wp:simplePos x="0" y="0"/>
                  <wp:positionH relativeFrom="column">
                    <wp:posOffset>-5715</wp:posOffset>
                  </wp:positionH>
                  <wp:positionV relativeFrom="paragraph">
                    <wp:posOffset>171450</wp:posOffset>
                  </wp:positionV>
                  <wp:extent cx="1969808" cy="1238250"/>
                  <wp:effectExtent l="0" t="0" r="0" b="0"/>
                  <wp:wrapThrough wrapText="bothSides">
                    <wp:wrapPolygon edited="0">
                      <wp:start x="10236" y="0"/>
                      <wp:lineTo x="6267" y="3323"/>
                      <wp:lineTo x="5640" y="4320"/>
                      <wp:lineTo x="5640" y="7975"/>
                      <wp:lineTo x="6058" y="10634"/>
                      <wp:lineTo x="0" y="15286"/>
                      <wp:lineTo x="0" y="21268"/>
                      <wp:lineTo x="21308" y="21268"/>
                      <wp:lineTo x="21308" y="15286"/>
                      <wp:lineTo x="15667" y="10634"/>
                      <wp:lineTo x="17756" y="5317"/>
                      <wp:lineTo x="18174" y="3323"/>
                      <wp:lineTo x="16294" y="665"/>
                      <wp:lineTo x="13578" y="0"/>
                      <wp:lineTo x="1023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9808" cy="1238250"/>
                          </a:xfrm>
                          <a:prstGeom prst="rect">
                            <a:avLst/>
                          </a:prstGeom>
                          <a:noFill/>
                          <a:ln>
                            <a:noFill/>
                          </a:ln>
                        </pic:spPr>
                      </pic:pic>
                    </a:graphicData>
                  </a:graphic>
                </wp:anchor>
              </w:drawing>
            </w:r>
          </w:p>
        </w:tc>
      </w:tr>
      <w:tr w:rsidR="000A51A5" w:rsidRPr="004C7D2D" w14:paraId="2FCE6849" w14:textId="77777777" w:rsidTr="00FB43BE">
        <w:tc>
          <w:tcPr>
            <w:tcW w:w="12877" w:type="dxa"/>
            <w:gridSpan w:val="4"/>
            <w:tcBorders>
              <w:top w:val="single" w:sz="18" w:space="0" w:color="FFFFFF"/>
              <w:left w:val="single" w:sz="18" w:space="0" w:color="FFFFFF"/>
              <w:bottom w:val="single" w:sz="18" w:space="0" w:color="FFFFFF"/>
              <w:right w:val="single" w:sz="18" w:space="0" w:color="FFFFFF"/>
            </w:tcBorders>
            <w:hideMark/>
          </w:tcPr>
          <w:p w14:paraId="0C979F7E" w14:textId="77777777" w:rsidR="007E3C40" w:rsidRPr="004C7D2D" w:rsidRDefault="007E3C40" w:rsidP="007E3C40">
            <w:pPr>
              <w:adjustRightInd w:val="0"/>
              <w:spacing w:after="0" w:line="360" w:lineRule="auto"/>
              <w:jc w:val="center"/>
              <w:rPr>
                <w:rFonts w:ascii="Futura Lt BT" w:hAnsi="Futura Lt BT" w:cs="ChollaWide"/>
                <w:b/>
                <w:color w:val="231F20"/>
                <w:sz w:val="24"/>
                <w:szCs w:val="24"/>
              </w:rPr>
            </w:pPr>
            <w:r w:rsidRPr="004C7D2D">
              <w:rPr>
                <w:rFonts w:ascii="Futura Lt BT" w:hAnsi="Futura Lt BT" w:cs="ChollaWide"/>
                <w:b/>
                <w:color w:val="231F20"/>
                <w:sz w:val="24"/>
                <w:szCs w:val="24"/>
              </w:rPr>
              <w:t>TIPOS DE CAMBIO</w:t>
            </w:r>
          </w:p>
        </w:tc>
      </w:tr>
      <w:tr w:rsidR="00B004D7" w:rsidRPr="004C7D2D" w14:paraId="7C9B9BB9" w14:textId="77777777" w:rsidTr="00FB43BE">
        <w:tc>
          <w:tcPr>
            <w:tcW w:w="12877" w:type="dxa"/>
            <w:gridSpan w:val="4"/>
            <w:tcBorders>
              <w:top w:val="single" w:sz="18" w:space="0" w:color="FFFFFF"/>
              <w:left w:val="single" w:sz="18" w:space="0" w:color="FFFFFF"/>
              <w:bottom w:val="single" w:sz="18" w:space="0" w:color="FFFFFF"/>
              <w:right w:val="single" w:sz="18" w:space="0" w:color="FFFFFF"/>
            </w:tcBorders>
          </w:tcPr>
          <w:p w14:paraId="1C838540" w14:textId="073DE2E7" w:rsidR="00B004D7" w:rsidRPr="004C7D2D" w:rsidRDefault="00717593">
            <w:pPr>
              <w:adjustRightInd w:val="0"/>
              <w:spacing w:after="0" w:line="360" w:lineRule="auto"/>
              <w:jc w:val="center"/>
              <w:rPr>
                <w:rFonts w:ascii="Futura Lt BT" w:hAnsi="Futura Lt BT" w:cs="ChollaWide"/>
                <w:b/>
                <w:color w:val="231F20"/>
                <w:sz w:val="24"/>
                <w:szCs w:val="24"/>
              </w:rPr>
            </w:pPr>
            <w:r w:rsidRPr="00717593">
              <w:rPr>
                <w:rFonts w:ascii="Futura Lt BT" w:hAnsi="Futura Lt BT" w:cs="ChollaWide"/>
                <w:b/>
                <w:color w:val="231F20"/>
                <w:sz w:val="24"/>
                <w:szCs w:val="24"/>
              </w:rPr>
              <w:t>DEVALUACIÓN PROMEDIO DEL TIPO DE CAMBIO DE COMPRA</w:t>
            </w:r>
          </w:p>
        </w:tc>
      </w:tr>
      <w:tr w:rsidR="009C5518" w:rsidRPr="004C7D2D" w14:paraId="5FC02410" w14:textId="77777777" w:rsidTr="00FB43BE">
        <w:tc>
          <w:tcPr>
            <w:tcW w:w="12877" w:type="dxa"/>
            <w:gridSpan w:val="4"/>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78B2003D" w14:textId="77777777" w:rsidR="009C5518" w:rsidRPr="004C7D2D" w:rsidRDefault="009C5518" w:rsidP="009C5518">
            <w:pPr>
              <w:adjustRightInd w:val="0"/>
              <w:spacing w:after="0" w:line="360" w:lineRule="auto"/>
              <w:rPr>
                <w:rFonts w:ascii="Futura Lt BT" w:hAnsi="Futura Lt BT" w:cs="ChollaWide"/>
                <w:b/>
                <w:color w:val="231F20"/>
                <w:sz w:val="24"/>
                <w:szCs w:val="24"/>
              </w:rPr>
            </w:pPr>
            <w:r w:rsidRPr="004C7D2D">
              <w:rPr>
                <w:rFonts w:ascii="Futura Lt BT" w:hAnsi="Futura Lt BT" w:cs="ChollaWide"/>
                <w:b/>
                <w:color w:val="231F20"/>
                <w:sz w:val="24"/>
                <w:szCs w:val="24"/>
              </w:rPr>
              <w:t>CONTACTO</w:t>
            </w:r>
          </w:p>
        </w:tc>
      </w:tr>
      <w:tr w:rsidR="00B004D7" w:rsidRPr="004C7D2D" w14:paraId="0712C280"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6934560C" w14:textId="77777777" w:rsidR="00B004D7" w:rsidRPr="004C7D2D" w:rsidRDefault="00B004D7">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Contacto</w:t>
            </w:r>
          </w:p>
        </w:tc>
        <w:tc>
          <w:tcPr>
            <w:tcW w:w="10971" w:type="dxa"/>
            <w:gridSpan w:val="3"/>
            <w:tcBorders>
              <w:top w:val="single" w:sz="18" w:space="0" w:color="FFFFFF"/>
              <w:left w:val="single" w:sz="18" w:space="0" w:color="FFFFFF"/>
              <w:bottom w:val="single" w:sz="18" w:space="0" w:color="FFFFFF"/>
              <w:right w:val="single" w:sz="18" w:space="0" w:color="FFFFFF"/>
            </w:tcBorders>
          </w:tcPr>
          <w:p w14:paraId="17D5FB34" w14:textId="77777777" w:rsidR="002D3F9F" w:rsidRPr="004C7D2D" w:rsidRDefault="00A207D0" w:rsidP="00A207D0">
            <w:pPr>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informacion@secmca.org</w:t>
            </w:r>
          </w:p>
        </w:tc>
      </w:tr>
      <w:tr w:rsidR="002D3F9F" w:rsidRPr="004C7D2D" w14:paraId="7F8667B0"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75BC5C59" w14:textId="77777777" w:rsidR="002D3F9F" w:rsidRPr="004C7D2D" w:rsidRDefault="002D3F9F">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Fecha de actualización de los metadatos</w:t>
            </w:r>
          </w:p>
        </w:tc>
        <w:tc>
          <w:tcPr>
            <w:tcW w:w="10971" w:type="dxa"/>
            <w:gridSpan w:val="3"/>
            <w:tcBorders>
              <w:top w:val="single" w:sz="18" w:space="0" w:color="FFFFFF"/>
              <w:left w:val="single" w:sz="18" w:space="0" w:color="FFFFFF"/>
              <w:bottom w:val="single" w:sz="18" w:space="0" w:color="FFFFFF"/>
              <w:right w:val="single" w:sz="18" w:space="0" w:color="FFFFFF"/>
            </w:tcBorders>
          </w:tcPr>
          <w:p w14:paraId="562FB6D8" w14:textId="65453772" w:rsidR="002D3F9F" w:rsidRPr="004C7D2D" w:rsidRDefault="00717593" w:rsidP="002D3F9F">
            <w:pPr>
              <w:spacing w:after="0" w:line="240" w:lineRule="auto"/>
              <w:rPr>
                <w:rFonts w:ascii="Futura Lt BT" w:hAnsi="Futura Lt BT" w:cs="ChollaWide"/>
                <w:color w:val="231F20"/>
                <w:sz w:val="24"/>
                <w:szCs w:val="24"/>
              </w:rPr>
            </w:pPr>
            <w:r>
              <w:rPr>
                <w:rFonts w:ascii="Futura Lt BT" w:hAnsi="Futura Lt BT" w:cs="ChollaWide"/>
                <w:color w:val="231F20"/>
                <w:sz w:val="24"/>
                <w:szCs w:val="24"/>
              </w:rPr>
              <w:t>Diciembre</w:t>
            </w:r>
            <w:r w:rsidR="004C7D2D" w:rsidRPr="004C7D2D">
              <w:rPr>
                <w:rFonts w:ascii="Futura Lt BT" w:hAnsi="Futura Lt BT" w:cs="ChollaWide"/>
                <w:color w:val="231F20"/>
                <w:sz w:val="24"/>
                <w:szCs w:val="24"/>
              </w:rPr>
              <w:t xml:space="preserve"> 202</w:t>
            </w:r>
            <w:r w:rsidR="000E2282">
              <w:rPr>
                <w:rFonts w:ascii="Futura Lt BT" w:hAnsi="Futura Lt BT" w:cs="ChollaWide"/>
                <w:color w:val="231F20"/>
                <w:sz w:val="24"/>
                <w:szCs w:val="24"/>
              </w:rPr>
              <w:t>4</w:t>
            </w:r>
          </w:p>
        </w:tc>
      </w:tr>
      <w:tr w:rsidR="009C5518" w:rsidRPr="004C7D2D" w14:paraId="03C79AB0" w14:textId="77777777" w:rsidTr="00FB43BE">
        <w:tc>
          <w:tcPr>
            <w:tcW w:w="12877" w:type="dxa"/>
            <w:gridSpan w:val="4"/>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6244C85E" w14:textId="77777777" w:rsidR="009C5518" w:rsidRPr="004C7D2D" w:rsidRDefault="00246279" w:rsidP="00246279">
            <w:pPr>
              <w:adjustRightInd w:val="0"/>
              <w:spacing w:after="0" w:line="360" w:lineRule="auto"/>
              <w:rPr>
                <w:rFonts w:ascii="Futura Lt BT" w:hAnsi="Futura Lt BT" w:cs="ChollaWide"/>
                <w:b/>
                <w:color w:val="231F20"/>
                <w:sz w:val="24"/>
                <w:szCs w:val="24"/>
              </w:rPr>
            </w:pPr>
            <w:r w:rsidRPr="004C7D2D">
              <w:rPr>
                <w:rFonts w:ascii="Futura Lt BT" w:hAnsi="Futura Lt BT" w:cs="ChollaWide"/>
                <w:b/>
                <w:color w:val="231F20"/>
                <w:sz w:val="24"/>
                <w:szCs w:val="24"/>
              </w:rPr>
              <w:t xml:space="preserve">CARACTERÍSTICAS DE </w:t>
            </w:r>
            <w:r w:rsidR="009C5518" w:rsidRPr="004C7D2D">
              <w:rPr>
                <w:rFonts w:ascii="Futura Lt BT" w:hAnsi="Futura Lt BT" w:cs="ChollaWide"/>
                <w:b/>
                <w:color w:val="231F20"/>
                <w:sz w:val="24"/>
                <w:szCs w:val="24"/>
              </w:rPr>
              <w:t>LOS DATOS</w:t>
            </w:r>
          </w:p>
        </w:tc>
      </w:tr>
      <w:tr w:rsidR="00226AF8" w:rsidRPr="004C7D2D" w14:paraId="701322D7"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1B8611EE"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Descripción</w:t>
            </w:r>
          </w:p>
        </w:tc>
        <w:tc>
          <w:tcPr>
            <w:tcW w:w="10971" w:type="dxa"/>
            <w:gridSpan w:val="3"/>
            <w:tcBorders>
              <w:top w:val="single" w:sz="18" w:space="0" w:color="FFFFFF"/>
              <w:left w:val="single" w:sz="18" w:space="0" w:color="FFFFFF"/>
              <w:bottom w:val="single" w:sz="18" w:space="0" w:color="FFFFFF"/>
              <w:right w:val="single" w:sz="18" w:space="0" w:color="FFFFFF"/>
            </w:tcBorders>
            <w:hideMark/>
          </w:tcPr>
          <w:p w14:paraId="016A8F96" w14:textId="43D08CC4" w:rsidR="00226AF8" w:rsidRPr="004C7D2D" w:rsidRDefault="006153FD" w:rsidP="00226AF8">
            <w:pPr>
              <w:adjustRightInd w:val="0"/>
              <w:rPr>
                <w:rFonts w:ascii="Futura Lt BT" w:hAnsi="Futura Lt BT" w:cs="ChollaWide"/>
                <w:color w:val="231F20"/>
                <w:sz w:val="24"/>
                <w:szCs w:val="24"/>
              </w:rPr>
            </w:pPr>
            <w:r w:rsidRPr="006153FD">
              <w:rPr>
                <w:rFonts w:ascii="Futura Lt BT" w:hAnsi="Futura Lt BT"/>
                <w:color w:val="231F20"/>
                <w:sz w:val="24"/>
                <w:szCs w:val="24"/>
                <w:shd w:val="clear" w:color="auto" w:fill="EEECE1"/>
              </w:rPr>
              <w:t>La devaluación corresponde a la variación interanual del tipo de cambio promedio de compra.</w:t>
            </w:r>
            <w:r w:rsidR="004164B5">
              <w:rPr>
                <w:rFonts w:ascii="Futura Lt BT" w:hAnsi="Futura Lt BT"/>
                <w:color w:val="231F20"/>
                <w:sz w:val="24"/>
                <w:szCs w:val="24"/>
                <w:shd w:val="clear" w:color="auto" w:fill="EEECE1"/>
              </w:rPr>
              <w:t xml:space="preserve"> </w:t>
            </w:r>
            <w:r w:rsidR="004164B5" w:rsidRPr="006153FD">
              <w:rPr>
                <w:rFonts w:ascii="Futura Lt BT" w:hAnsi="Futura Lt BT"/>
                <w:color w:val="231F20"/>
                <w:sz w:val="24"/>
                <w:szCs w:val="24"/>
                <w:shd w:val="clear" w:color="auto" w:fill="EEECE1"/>
              </w:rPr>
              <w:t>El tipo de cambio de mercado es el precio de una unidad de moneda extranjera (en este caso el US dólar de los Estados Unidos de América) expresado en términos de la moneda nacional, en el caso del tipo de cambio de compra corresponde a la cantidad de unidades de moneda nacional que se deben entregar para obtener una unidad de moneda extranjera.</w:t>
            </w:r>
          </w:p>
        </w:tc>
      </w:tr>
      <w:tr w:rsidR="00226AF8" w:rsidRPr="004C7D2D" w14:paraId="1D08B2B1"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292C7889"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Alcance</w:t>
            </w:r>
          </w:p>
          <w:p w14:paraId="2A18EA7A"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Cobertura y desagregaciones</w:t>
            </w:r>
          </w:p>
        </w:tc>
        <w:tc>
          <w:tcPr>
            <w:tcW w:w="10971" w:type="dxa"/>
            <w:gridSpan w:val="3"/>
            <w:tcBorders>
              <w:top w:val="single" w:sz="18" w:space="0" w:color="FFFFFF"/>
              <w:left w:val="single" w:sz="18" w:space="0" w:color="FFFFFF"/>
              <w:bottom w:val="single" w:sz="18" w:space="0" w:color="FFFFFF"/>
              <w:right w:val="single" w:sz="18" w:space="0" w:color="FFFFFF"/>
            </w:tcBorders>
          </w:tcPr>
          <w:p w14:paraId="18E80178" w14:textId="77777777" w:rsidR="00CB5F9F"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Por país</w:t>
            </w:r>
          </w:p>
          <w:p w14:paraId="178D2672" w14:textId="77777777" w:rsidR="00226AF8" w:rsidRPr="004C7D2D" w:rsidRDefault="00226AF8" w:rsidP="00C3210F">
            <w:pPr>
              <w:adjustRightInd w:val="0"/>
              <w:spacing w:after="0" w:line="240" w:lineRule="auto"/>
              <w:rPr>
                <w:rFonts w:ascii="Futura Lt BT" w:hAnsi="Futura Lt BT" w:cs="ChollaWide"/>
                <w:color w:val="231F20"/>
                <w:sz w:val="24"/>
                <w:szCs w:val="24"/>
              </w:rPr>
            </w:pPr>
          </w:p>
        </w:tc>
      </w:tr>
      <w:tr w:rsidR="00226AF8" w:rsidRPr="004C7D2D" w14:paraId="12A558BD"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71BBEA84" w14:textId="77777777" w:rsidR="00226AF8" w:rsidRPr="006153FD" w:rsidRDefault="00226AF8" w:rsidP="00226AF8">
            <w:pPr>
              <w:adjustRightInd w:val="0"/>
              <w:spacing w:after="0" w:line="240" w:lineRule="auto"/>
              <w:rPr>
                <w:rFonts w:ascii="Futura Lt BT" w:hAnsi="Futura Lt BT" w:cs="ChollaWide"/>
                <w:color w:val="231F20"/>
                <w:sz w:val="24"/>
                <w:szCs w:val="24"/>
                <w:highlight w:val="yellow"/>
              </w:rPr>
            </w:pPr>
            <w:r w:rsidRPr="004164B5">
              <w:rPr>
                <w:rFonts w:ascii="Futura Lt BT" w:hAnsi="Futura Lt BT" w:cs="ChollaWide"/>
                <w:color w:val="231F20"/>
                <w:sz w:val="24"/>
                <w:szCs w:val="24"/>
              </w:rPr>
              <w:lastRenderedPageBreak/>
              <w:t>Características</w:t>
            </w:r>
          </w:p>
        </w:tc>
        <w:tc>
          <w:tcPr>
            <w:tcW w:w="10971" w:type="dxa"/>
            <w:gridSpan w:val="3"/>
            <w:tcBorders>
              <w:top w:val="single" w:sz="18" w:space="0" w:color="FFFFFF"/>
              <w:left w:val="single" w:sz="18" w:space="0" w:color="FFFFFF"/>
              <w:bottom w:val="single" w:sz="18" w:space="0" w:color="FFFFFF"/>
              <w:right w:val="single" w:sz="18" w:space="0" w:color="FFFFFF"/>
            </w:tcBorders>
          </w:tcPr>
          <w:p w14:paraId="72BE8947" w14:textId="31C7ADD6" w:rsidR="00226AF8" w:rsidRPr="004C7D2D" w:rsidRDefault="004164B5" w:rsidP="00E32F6C">
            <w:pPr>
              <w:spacing w:after="0" w:line="240" w:lineRule="auto"/>
              <w:rPr>
                <w:rFonts w:ascii="Futura Lt BT" w:hAnsi="Futura Lt BT" w:cs="ChollaWide"/>
                <w:color w:val="231F20"/>
                <w:sz w:val="24"/>
                <w:szCs w:val="24"/>
              </w:rPr>
            </w:pPr>
            <w:r w:rsidRPr="004164B5">
              <w:rPr>
                <w:rFonts w:ascii="Futura Lt BT" w:hAnsi="Futura Lt BT" w:cs="ChollaWide"/>
                <w:color w:val="231F20"/>
                <w:sz w:val="24"/>
                <w:szCs w:val="24"/>
              </w:rPr>
              <w:t>El tipo de cambio</w:t>
            </w:r>
            <w:r>
              <w:rPr>
                <w:rFonts w:ascii="Futura Lt BT" w:hAnsi="Futura Lt BT" w:cs="ChollaWide"/>
                <w:color w:val="231F20"/>
                <w:sz w:val="24"/>
                <w:szCs w:val="24"/>
              </w:rPr>
              <w:t xml:space="preserve"> compra </w:t>
            </w:r>
            <w:r w:rsidRPr="004164B5">
              <w:rPr>
                <w:rFonts w:ascii="Futura Lt BT" w:hAnsi="Futura Lt BT" w:cs="ChollaWide"/>
                <w:color w:val="231F20"/>
                <w:sz w:val="24"/>
                <w:szCs w:val="24"/>
              </w:rPr>
              <w:t>corresponde</w:t>
            </w:r>
            <w:r>
              <w:rPr>
                <w:rFonts w:ascii="Futura Lt BT" w:hAnsi="Futura Lt BT" w:cs="ChollaWide"/>
                <w:color w:val="231F20"/>
                <w:sz w:val="24"/>
                <w:szCs w:val="24"/>
              </w:rPr>
              <w:t xml:space="preserve"> al </w:t>
            </w:r>
            <w:r w:rsidRPr="004164B5">
              <w:rPr>
                <w:rFonts w:ascii="Futura Lt BT" w:hAnsi="Futura Lt BT" w:cs="ChollaWide"/>
                <w:color w:val="231F20"/>
                <w:sz w:val="24"/>
                <w:szCs w:val="24"/>
              </w:rPr>
              <w:t>promedio simple del tipo de cambio diario</w:t>
            </w:r>
            <w:r>
              <w:rPr>
                <w:rFonts w:ascii="Futura Lt BT" w:hAnsi="Futura Lt BT" w:cs="ChollaWide"/>
                <w:color w:val="231F20"/>
                <w:sz w:val="24"/>
                <w:szCs w:val="24"/>
              </w:rPr>
              <w:t xml:space="preserve"> publicado </w:t>
            </w:r>
            <w:r w:rsidRPr="004164B5">
              <w:rPr>
                <w:rFonts w:ascii="Futura Lt BT" w:hAnsi="Futura Lt BT" w:cs="ChollaWide"/>
                <w:color w:val="231F20"/>
                <w:sz w:val="24"/>
                <w:szCs w:val="24"/>
              </w:rPr>
              <w:t>por los bancos centrales.</w:t>
            </w:r>
          </w:p>
        </w:tc>
      </w:tr>
      <w:tr w:rsidR="00226AF8" w:rsidRPr="004C7D2D" w14:paraId="7C795882"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6C4A0C85"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Unidad de medida</w:t>
            </w:r>
          </w:p>
        </w:tc>
        <w:tc>
          <w:tcPr>
            <w:tcW w:w="10971" w:type="dxa"/>
            <w:gridSpan w:val="3"/>
            <w:tcBorders>
              <w:top w:val="single" w:sz="18" w:space="0" w:color="FFFFFF"/>
              <w:left w:val="single" w:sz="18" w:space="0" w:color="FFFFFF"/>
              <w:bottom w:val="single" w:sz="18" w:space="0" w:color="FFFFFF"/>
              <w:right w:val="single" w:sz="18" w:space="0" w:color="FFFFFF"/>
            </w:tcBorders>
            <w:hideMark/>
          </w:tcPr>
          <w:p w14:paraId="6FCF3D8E" w14:textId="6A3EC9D5" w:rsidR="00226AF8" w:rsidRPr="004C7D2D" w:rsidRDefault="009D5A05" w:rsidP="00226AF8">
            <w:pPr>
              <w:adjustRightInd w:val="0"/>
              <w:spacing w:after="0" w:line="240" w:lineRule="auto"/>
              <w:rPr>
                <w:rFonts w:ascii="Futura Lt BT" w:hAnsi="Futura Lt BT" w:cs="ChollaWide"/>
                <w:color w:val="231F20"/>
                <w:sz w:val="24"/>
                <w:szCs w:val="28"/>
              </w:rPr>
            </w:pPr>
            <w:r>
              <w:rPr>
                <w:rFonts w:ascii="Futura Lt BT" w:hAnsi="Futura Lt BT" w:cs="ChollaWide"/>
                <w:color w:val="231F20"/>
                <w:sz w:val="24"/>
                <w:szCs w:val="28"/>
              </w:rPr>
              <w:t>V</w:t>
            </w:r>
            <w:r w:rsidRPr="009D5A05">
              <w:rPr>
                <w:rFonts w:ascii="Futura Lt BT" w:hAnsi="Futura Lt BT" w:cs="ChollaWide"/>
                <w:color w:val="231F20"/>
                <w:sz w:val="24"/>
                <w:szCs w:val="28"/>
              </w:rPr>
              <w:t>ariaciones en porcentajes</w:t>
            </w:r>
          </w:p>
        </w:tc>
      </w:tr>
      <w:tr w:rsidR="00226AF8" w:rsidRPr="004C7D2D" w14:paraId="54DC079C"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56457108"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Periodicidad</w:t>
            </w:r>
          </w:p>
        </w:tc>
        <w:tc>
          <w:tcPr>
            <w:tcW w:w="10971" w:type="dxa"/>
            <w:gridSpan w:val="3"/>
            <w:tcBorders>
              <w:top w:val="single" w:sz="18" w:space="0" w:color="FFFFFF"/>
              <w:left w:val="single" w:sz="18" w:space="0" w:color="FFFFFF"/>
              <w:bottom w:val="single" w:sz="18" w:space="0" w:color="FFFFFF"/>
              <w:right w:val="single" w:sz="18" w:space="0" w:color="FFFFFF"/>
            </w:tcBorders>
            <w:hideMark/>
          </w:tcPr>
          <w:p w14:paraId="410E18D9"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Mensual</w:t>
            </w:r>
          </w:p>
        </w:tc>
      </w:tr>
      <w:tr w:rsidR="00226AF8" w:rsidRPr="004C7D2D" w14:paraId="19091435"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181CD027"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Oportunidad</w:t>
            </w:r>
          </w:p>
        </w:tc>
        <w:tc>
          <w:tcPr>
            <w:tcW w:w="10971" w:type="dxa"/>
            <w:gridSpan w:val="3"/>
            <w:tcBorders>
              <w:top w:val="single" w:sz="18" w:space="0" w:color="FFFFFF"/>
              <w:left w:val="single" w:sz="18" w:space="0" w:color="FFFFFF"/>
              <w:bottom w:val="single" w:sz="18" w:space="0" w:color="FFFFFF"/>
              <w:right w:val="single" w:sz="18" w:space="0" w:color="FFFFFF"/>
            </w:tcBorders>
            <w:hideMark/>
          </w:tcPr>
          <w:p w14:paraId="246A31E6" w14:textId="5FE52E5F" w:rsidR="00226AF8" w:rsidRPr="004C7D2D" w:rsidRDefault="00226AF8" w:rsidP="00226AF8">
            <w:pPr>
              <w:adjustRightInd w:val="0"/>
              <w:rPr>
                <w:rFonts w:ascii="Futura Lt BT" w:hAnsi="Futura Lt BT" w:cs="ChollaWide"/>
                <w:color w:val="231F20"/>
                <w:sz w:val="24"/>
                <w:szCs w:val="28"/>
              </w:rPr>
            </w:pPr>
            <w:r w:rsidRPr="004C7D2D">
              <w:rPr>
                <w:rFonts w:ascii="Futura Lt BT" w:hAnsi="Futura Lt BT" w:cs="ChollaWide"/>
                <w:color w:val="231F20"/>
                <w:sz w:val="24"/>
                <w:szCs w:val="28"/>
              </w:rPr>
              <w:t xml:space="preserve">De </w:t>
            </w:r>
            <w:r w:rsidR="00C3210F" w:rsidRPr="004C7D2D">
              <w:rPr>
                <w:rFonts w:ascii="Futura Lt BT" w:hAnsi="Futura Lt BT" w:cs="ChollaWide"/>
                <w:color w:val="231F20"/>
                <w:sz w:val="24"/>
                <w:szCs w:val="28"/>
              </w:rPr>
              <w:t>1</w:t>
            </w:r>
            <w:r w:rsidRPr="004C7D2D">
              <w:rPr>
                <w:rFonts w:ascii="Futura Lt BT" w:hAnsi="Futura Lt BT" w:cs="ChollaWide"/>
                <w:color w:val="231F20"/>
                <w:sz w:val="24"/>
                <w:szCs w:val="28"/>
              </w:rPr>
              <w:t xml:space="preserve"> a </w:t>
            </w:r>
            <w:r w:rsidR="009D5A05">
              <w:rPr>
                <w:rFonts w:ascii="Futura Lt BT" w:hAnsi="Futura Lt BT" w:cs="ChollaWide"/>
                <w:color w:val="231F20"/>
                <w:sz w:val="24"/>
                <w:szCs w:val="28"/>
              </w:rPr>
              <w:t>7</w:t>
            </w:r>
            <w:r w:rsidRPr="004C7D2D">
              <w:rPr>
                <w:rFonts w:ascii="Futura Lt BT" w:hAnsi="Futura Lt BT" w:cs="ChollaWide"/>
                <w:color w:val="231F20"/>
                <w:sz w:val="24"/>
                <w:szCs w:val="28"/>
              </w:rPr>
              <w:t xml:space="preserve"> días luego de </w:t>
            </w:r>
            <w:r w:rsidR="00E32F6C">
              <w:rPr>
                <w:rFonts w:ascii="Futura Lt BT" w:hAnsi="Futura Lt BT" w:cs="ChollaWide"/>
                <w:color w:val="231F20"/>
                <w:sz w:val="24"/>
                <w:szCs w:val="28"/>
              </w:rPr>
              <w:t>la fecha.</w:t>
            </w:r>
          </w:p>
        </w:tc>
      </w:tr>
      <w:tr w:rsidR="00226AF8" w:rsidRPr="004C7D2D" w14:paraId="7BCE1FFE"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0C58EBF4"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 xml:space="preserve">Revisión </w:t>
            </w:r>
          </w:p>
        </w:tc>
        <w:tc>
          <w:tcPr>
            <w:tcW w:w="10971" w:type="dxa"/>
            <w:gridSpan w:val="3"/>
            <w:tcBorders>
              <w:top w:val="single" w:sz="18" w:space="0" w:color="FFFFFF"/>
              <w:left w:val="single" w:sz="18" w:space="0" w:color="FFFFFF"/>
              <w:bottom w:val="single" w:sz="18" w:space="0" w:color="FFFFFF"/>
              <w:right w:val="single" w:sz="18" w:space="0" w:color="FFFFFF"/>
            </w:tcBorders>
          </w:tcPr>
          <w:p w14:paraId="4A60BA0B"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El dato publicado es definitivo</w:t>
            </w:r>
          </w:p>
        </w:tc>
      </w:tr>
      <w:tr w:rsidR="00226AF8" w:rsidRPr="004C7D2D" w14:paraId="0B5BBD06"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2DAE57F9"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Fuente primaria de información</w:t>
            </w:r>
          </w:p>
        </w:tc>
        <w:tc>
          <w:tcPr>
            <w:tcW w:w="10971" w:type="dxa"/>
            <w:gridSpan w:val="3"/>
            <w:tcBorders>
              <w:top w:val="single" w:sz="18" w:space="0" w:color="FFFFFF"/>
              <w:left w:val="single" w:sz="18" w:space="0" w:color="FFFFFF"/>
              <w:bottom w:val="single" w:sz="18" w:space="0" w:color="FFFFFF"/>
              <w:right w:val="single" w:sz="18" w:space="0" w:color="FFFFFF"/>
            </w:tcBorders>
          </w:tcPr>
          <w:p w14:paraId="1471B94F" w14:textId="77777777" w:rsidR="00FE61B0" w:rsidRPr="004C7D2D" w:rsidRDefault="001047B0"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Banco Central de Costa Rica</w:t>
            </w:r>
          </w:p>
          <w:p w14:paraId="69DEDAF9" w14:textId="77777777" w:rsidR="00FE61B0" w:rsidRPr="004C7D2D" w:rsidRDefault="00FE61B0"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Banco Central de Reserva de El Salvador</w:t>
            </w:r>
          </w:p>
          <w:p w14:paraId="2583630B" w14:textId="77777777" w:rsidR="00FE61B0" w:rsidRPr="004C7D2D" w:rsidRDefault="00FE61B0"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Banco de Guatemala</w:t>
            </w:r>
          </w:p>
          <w:p w14:paraId="3C7B55A4"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Banco</w:t>
            </w:r>
            <w:r w:rsidR="00FE61B0" w:rsidRPr="004C7D2D">
              <w:rPr>
                <w:rFonts w:ascii="Futura Lt BT" w:hAnsi="Futura Lt BT" w:cs="ChollaWide"/>
                <w:color w:val="231F20"/>
                <w:sz w:val="24"/>
                <w:szCs w:val="24"/>
              </w:rPr>
              <w:t xml:space="preserve"> Central de Honduras</w:t>
            </w:r>
          </w:p>
          <w:p w14:paraId="62915AB4" w14:textId="77777777" w:rsidR="00FE61B0" w:rsidRPr="004C7D2D" w:rsidRDefault="00FE61B0"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Banco Central de Nicaragua</w:t>
            </w:r>
          </w:p>
          <w:p w14:paraId="7D519B54" w14:textId="77777777" w:rsidR="00FE61B0" w:rsidRPr="004C7D2D" w:rsidRDefault="00FE61B0"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Banco Central de la República Dominicana</w:t>
            </w:r>
          </w:p>
          <w:p w14:paraId="3EC0F3F4" w14:textId="77777777" w:rsidR="00FE61B0" w:rsidRPr="004C7D2D" w:rsidRDefault="00FE61B0"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Instituto Nacional de Estadística y Censo, Contraloría General de la República de Panamá</w:t>
            </w:r>
          </w:p>
        </w:tc>
      </w:tr>
      <w:tr w:rsidR="00394393" w:rsidRPr="004C7D2D" w14:paraId="39E90A3B"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596F3970" w14:textId="77777777" w:rsidR="00394393" w:rsidRPr="004C7D2D" w:rsidRDefault="00394393" w:rsidP="00394393">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Acceso a los datos</w:t>
            </w:r>
          </w:p>
        </w:tc>
        <w:tc>
          <w:tcPr>
            <w:tcW w:w="10971" w:type="dxa"/>
            <w:gridSpan w:val="3"/>
            <w:tcBorders>
              <w:top w:val="single" w:sz="18" w:space="0" w:color="FFFFFF"/>
              <w:left w:val="single" w:sz="18" w:space="0" w:color="FFFFFF"/>
              <w:bottom w:val="single" w:sz="18" w:space="0" w:color="FFFFFF"/>
              <w:right w:val="single" w:sz="18" w:space="0" w:color="FFFFFF"/>
            </w:tcBorders>
          </w:tcPr>
          <w:p w14:paraId="1AFB689D" w14:textId="77777777" w:rsidR="00394393" w:rsidRPr="004C7D2D" w:rsidRDefault="00394393" w:rsidP="00394393">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Series estadísticas pueden ser descargadas desde SECMCA DATOS en formatos CSV y XLS. La información es divulgada para todos los usuarios al mismo tiempo.</w:t>
            </w:r>
          </w:p>
        </w:tc>
      </w:tr>
      <w:tr w:rsidR="00226AF8" w:rsidRPr="004C7D2D" w14:paraId="64B29BC2"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3C3A3FF1" w14:textId="77777777" w:rsidR="00226AF8" w:rsidRPr="009D5A05" w:rsidRDefault="00226AF8" w:rsidP="00226AF8">
            <w:pPr>
              <w:adjustRightInd w:val="0"/>
              <w:spacing w:after="0" w:line="240" w:lineRule="auto"/>
              <w:rPr>
                <w:rFonts w:ascii="Futura Lt BT" w:hAnsi="Futura Lt BT" w:cs="ChollaWide"/>
                <w:color w:val="231F20"/>
                <w:sz w:val="24"/>
                <w:szCs w:val="24"/>
              </w:rPr>
            </w:pPr>
            <w:r w:rsidRPr="009D5A05">
              <w:rPr>
                <w:rFonts w:ascii="Futura Lt BT" w:hAnsi="Futura Lt BT" w:cs="ChollaWide"/>
                <w:color w:val="231F20"/>
                <w:sz w:val="24"/>
                <w:szCs w:val="24"/>
              </w:rPr>
              <w:t>Notas por país</w:t>
            </w:r>
          </w:p>
        </w:tc>
        <w:tc>
          <w:tcPr>
            <w:tcW w:w="10971" w:type="dxa"/>
            <w:gridSpan w:val="3"/>
            <w:tcBorders>
              <w:top w:val="single" w:sz="18" w:space="0" w:color="FFFFFF"/>
              <w:left w:val="single" w:sz="18" w:space="0" w:color="FFFFFF"/>
              <w:bottom w:val="single" w:sz="18" w:space="0" w:color="FFFFFF"/>
              <w:right w:val="single" w:sz="18" w:space="0" w:color="FFFFFF"/>
            </w:tcBorders>
          </w:tcPr>
          <w:p w14:paraId="15DD2DA6" w14:textId="5B23E409" w:rsidR="009D5A05" w:rsidRPr="004C7D2D" w:rsidRDefault="009D5A05" w:rsidP="009D5A05">
            <w:pPr>
              <w:spacing w:after="0" w:line="240" w:lineRule="auto"/>
              <w:rPr>
                <w:rFonts w:ascii="Futura Lt BT" w:hAnsi="Futura Lt BT" w:cs="ChollaWide"/>
                <w:color w:val="231F20"/>
                <w:sz w:val="24"/>
                <w:szCs w:val="24"/>
              </w:rPr>
            </w:pPr>
            <w:r w:rsidRPr="004C7D2D">
              <w:rPr>
                <w:rFonts w:ascii="Futura Lt BT" w:hAnsi="Futura Lt BT" w:cs="ChollaWide"/>
                <w:b/>
                <w:color w:val="231F20"/>
                <w:sz w:val="24"/>
                <w:szCs w:val="24"/>
              </w:rPr>
              <w:t>Costa Rica:</w:t>
            </w:r>
            <w:r>
              <w:rPr>
                <w:rFonts w:ascii="Futura Lt BT" w:hAnsi="Futura Lt BT" w:cs="ChollaWide"/>
                <w:b/>
                <w:color w:val="231F20"/>
                <w:sz w:val="24"/>
                <w:szCs w:val="24"/>
              </w:rPr>
              <w:t xml:space="preserve"> e</w:t>
            </w:r>
            <w:r w:rsidRPr="004C7D2D">
              <w:rPr>
                <w:rFonts w:ascii="Futura Lt BT" w:hAnsi="Futura Lt BT" w:cs="ChollaWide"/>
                <w:color w:val="231F20"/>
                <w:sz w:val="24"/>
                <w:szCs w:val="24"/>
              </w:rPr>
              <w:t xml:space="preserve">l tipo de cambio </w:t>
            </w:r>
            <w:r>
              <w:rPr>
                <w:rFonts w:ascii="Futura Lt BT" w:hAnsi="Futura Lt BT" w:cs="ChollaWide"/>
                <w:color w:val="231F20"/>
                <w:sz w:val="24"/>
                <w:szCs w:val="24"/>
              </w:rPr>
              <w:t>corresponde a</w:t>
            </w:r>
            <w:r w:rsidRPr="004C7D2D">
              <w:rPr>
                <w:rFonts w:ascii="Futura Lt BT" w:hAnsi="Futura Lt BT" w:cs="ChollaWide"/>
                <w:color w:val="231F20"/>
                <w:sz w:val="24"/>
                <w:szCs w:val="24"/>
              </w:rPr>
              <w:t>l promedio simple de los tipos de cambio diarios de compra de los días hábiles de cada mes.</w:t>
            </w:r>
          </w:p>
          <w:p w14:paraId="612CEB48" w14:textId="77777777" w:rsidR="009D5A05" w:rsidRPr="004C7D2D" w:rsidRDefault="009D5A05" w:rsidP="009D5A05">
            <w:pPr>
              <w:spacing w:after="0" w:line="240" w:lineRule="auto"/>
              <w:rPr>
                <w:rFonts w:ascii="Futura Lt BT" w:hAnsi="Futura Lt BT" w:cs="ChollaWide"/>
                <w:color w:val="231F20"/>
                <w:sz w:val="24"/>
                <w:szCs w:val="24"/>
              </w:rPr>
            </w:pPr>
            <w:r w:rsidRPr="004C7D2D">
              <w:rPr>
                <w:rFonts w:ascii="Futura Lt BT" w:hAnsi="Futura Lt BT" w:cs="ChollaWide"/>
                <w:b/>
                <w:color w:val="231F20"/>
                <w:sz w:val="24"/>
                <w:szCs w:val="24"/>
              </w:rPr>
              <w:t>Guatemala:</w:t>
            </w:r>
            <w:r w:rsidRPr="004C7D2D">
              <w:rPr>
                <w:rFonts w:ascii="Futura Lt BT" w:hAnsi="Futura Lt BT" w:cs="ChollaWide"/>
                <w:color w:val="231F20"/>
                <w:sz w:val="24"/>
                <w:szCs w:val="24"/>
              </w:rPr>
              <w:t xml:space="preserve"> Tipo de cambio promedio ponderado del mercado institucional de divisas y se calcula considerando el total de operaciones que se realizaron en el Mercado institucional de divisas, el cual está constituido por el Banco de Guatemala, por los bancos del sistema, las sociedades financieras privadas, las bolsas de valores y las casas de cambio.</w:t>
            </w:r>
          </w:p>
          <w:p w14:paraId="2CF4ADAF" w14:textId="6E2F03DB" w:rsidR="009D5A05" w:rsidRPr="004C7D2D" w:rsidRDefault="009D5A05" w:rsidP="009D5A05">
            <w:pPr>
              <w:spacing w:after="0" w:line="240" w:lineRule="auto"/>
              <w:rPr>
                <w:rFonts w:ascii="Futura Lt BT" w:hAnsi="Futura Lt BT" w:cs="ChollaWide"/>
                <w:color w:val="231F20"/>
                <w:sz w:val="24"/>
                <w:szCs w:val="24"/>
              </w:rPr>
            </w:pPr>
            <w:r w:rsidRPr="004C7D2D">
              <w:rPr>
                <w:rFonts w:ascii="Futura Lt BT" w:hAnsi="Futura Lt BT" w:cs="ChollaWide"/>
                <w:b/>
                <w:color w:val="231F20"/>
                <w:sz w:val="24"/>
                <w:szCs w:val="24"/>
              </w:rPr>
              <w:t>Honduras:</w:t>
            </w:r>
            <w:r w:rsidRPr="004C7D2D">
              <w:rPr>
                <w:rFonts w:ascii="Futura Lt BT" w:hAnsi="Futura Lt BT" w:cs="ChollaWide"/>
                <w:color w:val="231F20"/>
                <w:sz w:val="24"/>
                <w:szCs w:val="24"/>
              </w:rPr>
              <w:t xml:space="preserve"> El</w:t>
            </w:r>
            <w:r>
              <w:rPr>
                <w:rFonts w:ascii="Futura Lt BT" w:hAnsi="Futura Lt BT" w:cs="ChollaWide"/>
                <w:color w:val="231F20"/>
                <w:sz w:val="24"/>
                <w:szCs w:val="24"/>
              </w:rPr>
              <w:t xml:space="preserve"> tipo de cambio</w:t>
            </w:r>
            <w:r w:rsidRPr="004C7D2D">
              <w:rPr>
                <w:rFonts w:ascii="Futura Lt BT" w:hAnsi="Futura Lt BT" w:cs="ChollaWide"/>
                <w:color w:val="231F20"/>
                <w:sz w:val="24"/>
                <w:szCs w:val="24"/>
              </w:rPr>
              <w:t xml:space="preserve"> de compra corresponde al precio promedio del tipo de cambio de referencia de la subasta pública de divisas del día. </w:t>
            </w:r>
          </w:p>
          <w:p w14:paraId="41B7D483" w14:textId="77777777" w:rsidR="009D5A05" w:rsidRPr="004B66AC" w:rsidRDefault="009D5A05" w:rsidP="009D5A05">
            <w:pPr>
              <w:spacing w:after="0" w:line="240" w:lineRule="auto"/>
              <w:rPr>
                <w:rFonts w:ascii="Futura Lt BT" w:hAnsi="Futura Lt BT" w:cs="ChollaWide"/>
                <w:sz w:val="24"/>
                <w:szCs w:val="24"/>
              </w:rPr>
            </w:pPr>
            <w:r w:rsidRPr="004B66AC">
              <w:rPr>
                <w:rFonts w:ascii="Futura Lt BT" w:hAnsi="Futura Lt BT" w:cs="ChollaWide"/>
                <w:b/>
                <w:sz w:val="24"/>
                <w:szCs w:val="24"/>
              </w:rPr>
              <w:t>Nicaragua:</w:t>
            </w:r>
            <w:r w:rsidRPr="004B66AC">
              <w:rPr>
                <w:rFonts w:ascii="Futura Lt BT" w:hAnsi="Futura Lt BT" w:cs="ChollaWide"/>
                <w:sz w:val="24"/>
                <w:szCs w:val="24"/>
              </w:rPr>
              <w:t xml:space="preserve"> Corresponde al tipo de cambio del mercado de cambios.</w:t>
            </w:r>
          </w:p>
          <w:p w14:paraId="7D9F55FC" w14:textId="6923F820" w:rsidR="009D5A05" w:rsidRPr="004C7D2D" w:rsidRDefault="009D5A05" w:rsidP="009D5A05">
            <w:pPr>
              <w:spacing w:after="0" w:line="240" w:lineRule="auto"/>
              <w:rPr>
                <w:rFonts w:ascii="Futura Lt BT" w:hAnsi="Futura Lt BT" w:cs="ChollaWide"/>
                <w:color w:val="231F20"/>
                <w:sz w:val="24"/>
                <w:szCs w:val="24"/>
              </w:rPr>
            </w:pPr>
            <w:r w:rsidRPr="004C7D2D">
              <w:rPr>
                <w:rFonts w:ascii="Futura Lt BT" w:hAnsi="Futura Lt BT" w:cs="ChollaWide"/>
                <w:b/>
                <w:color w:val="231F20"/>
                <w:sz w:val="24"/>
                <w:szCs w:val="24"/>
              </w:rPr>
              <w:t>República Dominicana</w:t>
            </w:r>
            <w:r w:rsidRPr="004C7D2D">
              <w:rPr>
                <w:rFonts w:ascii="Futura Lt BT" w:hAnsi="Futura Lt BT" w:cs="ChollaWide"/>
                <w:color w:val="231F20"/>
                <w:sz w:val="24"/>
                <w:szCs w:val="24"/>
              </w:rPr>
              <w:t>: Corresponde a la tasa de cambio del Banco Central para operaciones de compra y venta de dólares estadounidenses.</w:t>
            </w:r>
          </w:p>
        </w:tc>
      </w:tr>
      <w:tr w:rsidR="00226AF8" w:rsidRPr="004C7D2D" w14:paraId="43FAE49D" w14:textId="77777777" w:rsidTr="00FB43BE">
        <w:tc>
          <w:tcPr>
            <w:tcW w:w="12877" w:type="dxa"/>
            <w:gridSpan w:val="4"/>
            <w:tcBorders>
              <w:top w:val="single" w:sz="18" w:space="0" w:color="FFFFFF"/>
              <w:left w:val="single" w:sz="18" w:space="0" w:color="FFFFFF"/>
              <w:bottom w:val="single" w:sz="18" w:space="0" w:color="FFFFFF"/>
              <w:right w:val="single" w:sz="18" w:space="0" w:color="FFFFFF"/>
            </w:tcBorders>
            <w:shd w:val="clear" w:color="auto" w:fill="C6D9F1" w:themeFill="text2" w:themeFillTint="33"/>
          </w:tcPr>
          <w:p w14:paraId="330E3B04" w14:textId="77777777" w:rsidR="00226AF8" w:rsidRPr="004C7D2D" w:rsidRDefault="00226AF8" w:rsidP="00226AF8">
            <w:pPr>
              <w:adjustRightInd w:val="0"/>
              <w:spacing w:after="0" w:line="360" w:lineRule="auto"/>
              <w:rPr>
                <w:rFonts w:ascii="Futura Lt BT" w:hAnsi="Futura Lt BT" w:cs="ChollaWide"/>
                <w:b/>
                <w:color w:val="231F20"/>
                <w:sz w:val="24"/>
                <w:szCs w:val="24"/>
              </w:rPr>
            </w:pPr>
            <w:r w:rsidRPr="004C7D2D">
              <w:rPr>
                <w:rFonts w:ascii="Futura Lt BT" w:hAnsi="Futura Lt BT" w:cs="ChollaWide"/>
                <w:b/>
                <w:color w:val="231F20"/>
                <w:sz w:val="24"/>
                <w:szCs w:val="24"/>
              </w:rPr>
              <w:lastRenderedPageBreak/>
              <w:t>COMPARACIÓN ENTRE PAÍSES Y CÁLCULO REGIONAL</w:t>
            </w:r>
          </w:p>
        </w:tc>
      </w:tr>
      <w:tr w:rsidR="00226AF8" w:rsidRPr="004C7D2D" w14:paraId="18ECF55A" w14:textId="77777777" w:rsidTr="00FB43BE">
        <w:tc>
          <w:tcPr>
            <w:tcW w:w="1906" w:type="dxa"/>
            <w:tcBorders>
              <w:top w:val="single" w:sz="18" w:space="0" w:color="FFFFFF"/>
              <w:left w:val="single" w:sz="18" w:space="0" w:color="FFFFFF"/>
              <w:bottom w:val="single" w:sz="18" w:space="0" w:color="FFFFFF"/>
              <w:right w:val="single" w:sz="18" w:space="0" w:color="FFFFFF"/>
            </w:tcBorders>
          </w:tcPr>
          <w:p w14:paraId="0B2144EA"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Comparabilidad regional</w:t>
            </w:r>
          </w:p>
        </w:tc>
        <w:tc>
          <w:tcPr>
            <w:tcW w:w="10971" w:type="dxa"/>
            <w:gridSpan w:val="3"/>
            <w:tcBorders>
              <w:top w:val="single" w:sz="18" w:space="0" w:color="FFFFFF"/>
              <w:left w:val="single" w:sz="18" w:space="0" w:color="FFFFFF"/>
              <w:bottom w:val="single" w:sz="18" w:space="0" w:color="FFFFFF"/>
              <w:right w:val="single" w:sz="18" w:space="0" w:color="FFFFFF"/>
            </w:tcBorders>
          </w:tcPr>
          <w:p w14:paraId="165D6B60" w14:textId="77777777" w:rsidR="00226AF8" w:rsidRPr="004C7D2D" w:rsidRDefault="001479A0" w:rsidP="00710E1D">
            <w:pPr>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Observar las diferencias en los cálculos por país al momento de realizar la comparación regional.</w:t>
            </w:r>
          </w:p>
        </w:tc>
      </w:tr>
      <w:tr w:rsidR="00226AF8" w:rsidRPr="004C7D2D" w14:paraId="18BFD32D"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558D4F5E"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Cálculo regional</w:t>
            </w:r>
          </w:p>
        </w:tc>
        <w:tc>
          <w:tcPr>
            <w:tcW w:w="10971" w:type="dxa"/>
            <w:gridSpan w:val="3"/>
            <w:tcBorders>
              <w:top w:val="single" w:sz="18" w:space="0" w:color="FFFFFF"/>
              <w:left w:val="single" w:sz="18" w:space="0" w:color="FFFFFF"/>
              <w:bottom w:val="single" w:sz="18" w:space="0" w:color="FFFFFF"/>
              <w:right w:val="single" w:sz="18" w:space="0" w:color="FFFFFF"/>
            </w:tcBorders>
            <w:hideMark/>
          </w:tcPr>
          <w:p w14:paraId="292AA28A" w14:textId="77777777" w:rsidR="00710E1D" w:rsidRPr="004C7D2D" w:rsidRDefault="00710E1D" w:rsidP="00710E1D">
            <w:pPr>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No existe cálculo regional para el indicador</w:t>
            </w:r>
          </w:p>
          <w:p w14:paraId="63AA565B" w14:textId="77777777" w:rsidR="00226AF8" w:rsidRPr="004C7D2D" w:rsidRDefault="00226AF8" w:rsidP="005C5B18">
            <w:pPr>
              <w:spacing w:after="0" w:line="240" w:lineRule="auto"/>
              <w:rPr>
                <w:rFonts w:ascii="Futura Lt BT" w:hAnsi="Futura Lt BT" w:cs="ChollaWide"/>
                <w:color w:val="231F20"/>
                <w:sz w:val="24"/>
                <w:szCs w:val="24"/>
              </w:rPr>
            </w:pPr>
          </w:p>
        </w:tc>
      </w:tr>
      <w:tr w:rsidR="00226AF8" w:rsidRPr="004C7D2D" w14:paraId="1C1713CB" w14:textId="77777777" w:rsidTr="00FB43BE">
        <w:tc>
          <w:tcPr>
            <w:tcW w:w="1906" w:type="dxa"/>
            <w:tcBorders>
              <w:top w:val="single" w:sz="18" w:space="0" w:color="FFFFFF"/>
              <w:left w:val="single" w:sz="18" w:space="0" w:color="FFFFFF"/>
              <w:bottom w:val="single" w:sz="18" w:space="0" w:color="FFFFFF"/>
              <w:right w:val="single" w:sz="18" w:space="0" w:color="FFFFFF"/>
            </w:tcBorders>
            <w:hideMark/>
          </w:tcPr>
          <w:p w14:paraId="12153154" w14:textId="77777777" w:rsidR="00226AF8" w:rsidRPr="004C7D2D" w:rsidRDefault="00226AF8" w:rsidP="00226AF8">
            <w:pPr>
              <w:adjustRightInd w:val="0"/>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Fuente datos regionales</w:t>
            </w:r>
          </w:p>
        </w:tc>
        <w:tc>
          <w:tcPr>
            <w:tcW w:w="10971" w:type="dxa"/>
            <w:gridSpan w:val="3"/>
            <w:tcBorders>
              <w:top w:val="single" w:sz="18" w:space="0" w:color="FFFFFF"/>
              <w:left w:val="single" w:sz="18" w:space="0" w:color="FFFFFF"/>
              <w:bottom w:val="single" w:sz="18" w:space="0" w:color="FFFFFF"/>
              <w:right w:val="single" w:sz="18" w:space="0" w:color="FFFFFF"/>
            </w:tcBorders>
            <w:hideMark/>
          </w:tcPr>
          <w:p w14:paraId="52121E09" w14:textId="77777777" w:rsidR="00226AF8" w:rsidRPr="004C7D2D" w:rsidRDefault="001479A0" w:rsidP="00226AF8">
            <w:pPr>
              <w:spacing w:after="0" w:line="240" w:lineRule="auto"/>
              <w:rPr>
                <w:rFonts w:ascii="Futura Lt BT" w:hAnsi="Futura Lt BT" w:cs="ChollaWide"/>
                <w:color w:val="231F20"/>
                <w:sz w:val="24"/>
                <w:szCs w:val="24"/>
              </w:rPr>
            </w:pPr>
            <w:r w:rsidRPr="004C7D2D">
              <w:rPr>
                <w:rFonts w:ascii="Futura Lt BT" w:hAnsi="Futura Lt BT" w:cs="ChollaWide"/>
                <w:color w:val="231F20"/>
                <w:sz w:val="24"/>
                <w:szCs w:val="24"/>
              </w:rPr>
              <w:t>No corresponde</w:t>
            </w:r>
          </w:p>
        </w:tc>
      </w:tr>
      <w:tr w:rsidR="00226AF8" w:rsidRPr="004C7D2D" w14:paraId="23DD91A0" w14:textId="77777777" w:rsidTr="00FB43BE">
        <w:tc>
          <w:tcPr>
            <w:tcW w:w="12877" w:type="dxa"/>
            <w:gridSpan w:val="4"/>
            <w:tcBorders>
              <w:top w:val="single" w:sz="18" w:space="0" w:color="FFFFFF"/>
              <w:left w:val="single" w:sz="18" w:space="0" w:color="FFFFFF"/>
              <w:bottom w:val="single" w:sz="18" w:space="0" w:color="FFFFFF"/>
              <w:right w:val="single" w:sz="18" w:space="0" w:color="FFFFFF"/>
            </w:tcBorders>
            <w:hideMark/>
          </w:tcPr>
          <w:p w14:paraId="3C5F0207" w14:textId="77777777" w:rsidR="00226AF8" w:rsidRPr="004C7D2D" w:rsidRDefault="00226AF8" w:rsidP="00226AF8">
            <w:pPr>
              <w:spacing w:after="0" w:line="240" w:lineRule="auto"/>
              <w:rPr>
                <w:rFonts w:ascii="Futura Lt BT" w:eastAsia="Times New Roman" w:hAnsi="Futura Lt BT" w:cs="Calibri"/>
                <w:sz w:val="24"/>
                <w:szCs w:val="24"/>
                <w:lang w:eastAsia="es-CR"/>
              </w:rPr>
            </w:pPr>
          </w:p>
        </w:tc>
      </w:tr>
    </w:tbl>
    <w:p w14:paraId="06285AC1" w14:textId="77777777" w:rsidR="000A51A5" w:rsidRPr="004C7D2D" w:rsidRDefault="000A51A5">
      <w:pPr>
        <w:rPr>
          <w:rFonts w:ascii="Futura Lt BT" w:hAnsi="Futura Lt BT"/>
          <w:sz w:val="24"/>
          <w:szCs w:val="24"/>
        </w:rPr>
      </w:pPr>
    </w:p>
    <w:p w14:paraId="552E575C" w14:textId="77777777" w:rsidR="00467D27" w:rsidRPr="004C7D2D" w:rsidRDefault="00467D27">
      <w:pPr>
        <w:spacing w:after="0" w:line="240" w:lineRule="auto"/>
        <w:rPr>
          <w:rFonts w:ascii="Futura Lt BT" w:hAnsi="Futura Lt BT"/>
          <w:sz w:val="24"/>
          <w:szCs w:val="24"/>
        </w:rPr>
      </w:pPr>
    </w:p>
    <w:sectPr w:rsidR="00467D27" w:rsidRPr="004C7D2D">
      <w:pgSz w:w="15840" w:h="12240" w:orient="landscape"/>
      <w:pgMar w:top="1701" w:right="1417" w:bottom="1701"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panose1 w:val="020B0402020204020303"/>
    <w:charset w:val="00"/>
    <w:family w:val="swiss"/>
    <w:pitch w:val="variable"/>
    <w:sig w:usb0="00000087" w:usb1="00000000" w:usb2="00000000" w:usb3="00000000" w:csb0="0000001B" w:csb1="00000000"/>
  </w:font>
  <w:font w:name="ChollaWi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0A15"/>
    <w:multiLevelType w:val="hybridMultilevel"/>
    <w:tmpl w:val="BCD4C03A"/>
    <w:lvl w:ilvl="0" w:tplc="B72CA94E">
      <w:start w:val="1"/>
      <w:numFmt w:val="bullet"/>
      <w:suff w:val="space"/>
      <w:lvlText w:val=""/>
      <w:lvlJc w:val="left"/>
      <w:pPr>
        <w:ind w:left="0" w:firstLine="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1" w15:restartNumberingAfterBreak="0">
    <w:nsid w:val="54EF1A95"/>
    <w:multiLevelType w:val="hybridMultilevel"/>
    <w:tmpl w:val="571C3AC2"/>
    <w:lvl w:ilvl="0" w:tplc="D35E68B4">
      <w:start w:val="1"/>
      <w:numFmt w:val="bullet"/>
      <w:suff w:val="space"/>
      <w:lvlText w:val=""/>
      <w:lvlJc w:val="left"/>
      <w:pPr>
        <w:ind w:left="0" w:firstLine="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2" w15:restartNumberingAfterBreak="0">
    <w:nsid w:val="6F7E743B"/>
    <w:multiLevelType w:val="hybridMultilevel"/>
    <w:tmpl w:val="45BE20C6"/>
    <w:lvl w:ilvl="0" w:tplc="A03C85EC">
      <w:start w:val="1"/>
      <w:numFmt w:val="bullet"/>
      <w:suff w:val="space"/>
      <w:lvlText w:val=""/>
      <w:lvlJc w:val="left"/>
      <w:pPr>
        <w:ind w:left="0" w:firstLine="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num w:numId="1" w16cid:durableId="1792433382">
    <w:abstractNumId w:val="1"/>
  </w:num>
  <w:num w:numId="2" w16cid:durableId="18906116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403102">
    <w:abstractNumId w:val="2"/>
  </w:num>
  <w:num w:numId="4" w16cid:durableId="1396627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564804">
    <w:abstractNumId w:val="0"/>
  </w:num>
  <w:num w:numId="6" w16cid:durableId="10811732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17"/>
    <w:rsid w:val="00061F3E"/>
    <w:rsid w:val="000A51A5"/>
    <w:rsid w:val="000E2282"/>
    <w:rsid w:val="000E4758"/>
    <w:rsid w:val="001047B0"/>
    <w:rsid w:val="001479A0"/>
    <w:rsid w:val="001F0E9A"/>
    <w:rsid w:val="00226AF8"/>
    <w:rsid w:val="00246279"/>
    <w:rsid w:val="002811E6"/>
    <w:rsid w:val="00291F89"/>
    <w:rsid w:val="002D3F9F"/>
    <w:rsid w:val="002F29BE"/>
    <w:rsid w:val="003512BE"/>
    <w:rsid w:val="00375DDB"/>
    <w:rsid w:val="00375E85"/>
    <w:rsid w:val="00394393"/>
    <w:rsid w:val="004164B5"/>
    <w:rsid w:val="00437CE4"/>
    <w:rsid w:val="0046629F"/>
    <w:rsid w:val="00467D27"/>
    <w:rsid w:val="004B66AC"/>
    <w:rsid w:val="004C7D2D"/>
    <w:rsid w:val="00514E88"/>
    <w:rsid w:val="005C5B18"/>
    <w:rsid w:val="005F79A7"/>
    <w:rsid w:val="006153FD"/>
    <w:rsid w:val="00710E1D"/>
    <w:rsid w:val="00717593"/>
    <w:rsid w:val="00736EA7"/>
    <w:rsid w:val="00782F78"/>
    <w:rsid w:val="007E3C40"/>
    <w:rsid w:val="00850C74"/>
    <w:rsid w:val="00883242"/>
    <w:rsid w:val="009135C6"/>
    <w:rsid w:val="0091677E"/>
    <w:rsid w:val="00916A11"/>
    <w:rsid w:val="00990DBF"/>
    <w:rsid w:val="009B7E7F"/>
    <w:rsid w:val="009C5518"/>
    <w:rsid w:val="009D5A05"/>
    <w:rsid w:val="00A015F5"/>
    <w:rsid w:val="00A207D0"/>
    <w:rsid w:val="00A34543"/>
    <w:rsid w:val="00A95270"/>
    <w:rsid w:val="00AB1636"/>
    <w:rsid w:val="00AE46ED"/>
    <w:rsid w:val="00B004D7"/>
    <w:rsid w:val="00B219D9"/>
    <w:rsid w:val="00BB5117"/>
    <w:rsid w:val="00C3210F"/>
    <w:rsid w:val="00C4607B"/>
    <w:rsid w:val="00C811AB"/>
    <w:rsid w:val="00CB5F9F"/>
    <w:rsid w:val="00CE1BCE"/>
    <w:rsid w:val="00D15052"/>
    <w:rsid w:val="00DE1592"/>
    <w:rsid w:val="00DF3BBE"/>
    <w:rsid w:val="00E32F6C"/>
    <w:rsid w:val="00E40452"/>
    <w:rsid w:val="00EA26F4"/>
    <w:rsid w:val="00F03FC5"/>
    <w:rsid w:val="00F15BA8"/>
    <w:rsid w:val="00FB43BE"/>
    <w:rsid w:val="00FE61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0B590"/>
  <w15:chartTrackingRefBased/>
  <w15:docId w15:val="{3DD753B0-217D-4C89-A987-D32C1477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stilo20"/>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s-CR"/>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stilo111">
    <w:name w:val="Estilo111"/>
    <w:basedOn w:val="Tablanormal"/>
    <w:uiPriority w:val="99"/>
    <w:qFormat/>
    <w:rPr>
      <w:sz w:val="22"/>
      <w:szCs w:val="22"/>
    </w:rPr>
    <w:tblPr>
      <w:tblInd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EEECE1" w:themeFill="background2"/>
    </w:tcPr>
  </w:style>
  <w:style w:type="character" w:customStyle="1" w:styleId="apple-converted-space">
    <w:name w:val="apple-converted-space"/>
    <w:basedOn w:val="Fuentedeprrafopredeter"/>
    <w:rsid w:val="00916A11"/>
  </w:style>
  <w:style w:type="paragraph" w:styleId="Textodeglobo">
    <w:name w:val="Balloon Text"/>
    <w:basedOn w:val="Normal"/>
    <w:link w:val="TextodegloboCar"/>
    <w:uiPriority w:val="99"/>
    <w:semiHidden/>
    <w:unhideWhenUsed/>
    <w:rsid w:val="00AB16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636"/>
    <w:rPr>
      <w:rFonts w:ascii="Segoe UI" w:hAnsi="Segoe UI" w:cs="Segoe UI"/>
      <w:sz w:val="18"/>
      <w:szCs w:val="18"/>
    </w:rPr>
  </w:style>
  <w:style w:type="character" w:customStyle="1" w:styleId="spelle">
    <w:name w:val="spelle"/>
    <w:basedOn w:val="Fuentedeprrafopredeter"/>
    <w:rsid w:val="0010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966506">
      <w:bodyDiv w:val="1"/>
      <w:marLeft w:val="0"/>
      <w:marRight w:val="0"/>
      <w:marTop w:val="0"/>
      <w:marBottom w:val="0"/>
      <w:divBdr>
        <w:top w:val="none" w:sz="0" w:space="0" w:color="auto"/>
        <w:left w:val="none" w:sz="0" w:space="0" w:color="auto"/>
        <w:bottom w:val="none" w:sz="0" w:space="0" w:color="auto"/>
        <w:right w:val="none" w:sz="0" w:space="0" w:color="auto"/>
      </w:divBdr>
    </w:div>
    <w:div w:id="1209032976">
      <w:bodyDiv w:val="1"/>
      <w:marLeft w:val="0"/>
      <w:marRight w:val="0"/>
      <w:marTop w:val="0"/>
      <w:marBottom w:val="0"/>
      <w:divBdr>
        <w:top w:val="none" w:sz="0" w:space="0" w:color="auto"/>
        <w:left w:val="none" w:sz="0" w:space="0" w:color="auto"/>
        <w:bottom w:val="none" w:sz="0" w:space="0" w:color="auto"/>
        <w:right w:val="none" w:sz="0" w:space="0" w:color="auto"/>
      </w:divBdr>
    </w:div>
    <w:div w:id="20534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3</Pages>
  <Words>403</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plizano</dc:creator>
  <cp:keywords/>
  <dc:description/>
  <cp:lastModifiedBy>Evelyn Badilla Barrantes</cp:lastModifiedBy>
  <cp:revision>24</cp:revision>
  <dcterms:created xsi:type="dcterms:W3CDTF">2019-10-29T22:56:00Z</dcterms:created>
  <dcterms:modified xsi:type="dcterms:W3CDTF">2024-12-11T18:19:00Z</dcterms:modified>
</cp:coreProperties>
</file>